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CA" w:rsidRPr="006B6D1E" w:rsidRDefault="006068CA" w:rsidP="006068CA">
      <w:pPr>
        <w:ind w:left="1134" w:hanging="1134"/>
        <w:jc w:val="center"/>
        <w:rPr>
          <w:szCs w:val="22"/>
        </w:rPr>
      </w:pPr>
      <w:r w:rsidRPr="006B6D1E">
        <w:rPr>
          <w:szCs w:val="22"/>
        </w:rPr>
        <w:t xml:space="preserve">Прилог 1: </w:t>
      </w:r>
      <w:r w:rsidR="002D090A" w:rsidRPr="006B6D1E">
        <w:rPr>
          <w:szCs w:val="22"/>
        </w:rPr>
        <w:t>О</w:t>
      </w:r>
      <w:r w:rsidRPr="006B6D1E">
        <w:rPr>
          <w:szCs w:val="22"/>
        </w:rPr>
        <w:t>пис ЈЛС Пројекта</w:t>
      </w:r>
    </w:p>
    <w:p w:rsidR="006068CA" w:rsidRPr="006B6D1E" w:rsidRDefault="006068CA" w:rsidP="00CE2858"/>
    <w:p w:rsidR="00FF1F89" w:rsidRPr="006B6D1E" w:rsidRDefault="00F61A11" w:rsidP="00A574DB">
      <w:pPr>
        <w:jc w:val="center"/>
      </w:pPr>
      <w:r w:rsidRPr="006B6D1E">
        <w:rPr>
          <w:b/>
          <w:bCs/>
          <w:color w:val="000000"/>
          <w:szCs w:val="22"/>
        </w:rPr>
        <w:t>„</w:t>
      </w:r>
      <w:r w:rsidR="001F4EBB" w:rsidRPr="006B6D1E">
        <w:rPr>
          <w:b/>
          <w:szCs w:val="22"/>
        </w:rPr>
        <w:t>Булевар краља Александра I – Реконструкција пешачке зоне са партерним уређењем на КП бр. 2804/1, 2807/1, 2812, 590, 1694 и 1695 КО Топола Варош, целине 1.1а, 1.2 и 1.3</w:t>
      </w:r>
      <w:r w:rsidRPr="006B6D1E">
        <w:rPr>
          <w:b/>
          <w:bCs/>
          <w:color w:val="000000"/>
          <w:szCs w:val="22"/>
        </w:rPr>
        <w:t>“</w:t>
      </w:r>
    </w:p>
    <w:p w:rsidR="00A574DB" w:rsidRPr="006B6D1E" w:rsidRDefault="00A574DB" w:rsidP="00CE2858"/>
    <w:tbl>
      <w:tblPr>
        <w:tblStyle w:val="TableGrid"/>
        <w:tblW w:w="9639" w:type="dxa"/>
        <w:jc w:val="center"/>
        <w:tblLayout w:type="fixed"/>
        <w:tblCellMar>
          <w:top w:w="57" w:type="dxa"/>
          <w:bottom w:w="57" w:type="dxa"/>
        </w:tblCellMar>
        <w:tblLook w:val="04A0"/>
      </w:tblPr>
      <w:tblGrid>
        <w:gridCol w:w="2830"/>
        <w:gridCol w:w="6809"/>
      </w:tblGrid>
      <w:tr w:rsidR="003762C6" w:rsidRPr="006B6D1E" w:rsidTr="0035682D">
        <w:trPr>
          <w:jc w:val="center"/>
        </w:trPr>
        <w:tc>
          <w:tcPr>
            <w:tcW w:w="9639" w:type="dxa"/>
            <w:gridSpan w:val="2"/>
          </w:tcPr>
          <w:p w:rsidR="003762C6" w:rsidRPr="006B6D1E" w:rsidRDefault="003762C6" w:rsidP="0035682D">
            <w:pPr>
              <w:spacing w:after="0" w:line="240" w:lineRule="auto"/>
              <w:jc w:val="left"/>
              <w:rPr>
                <w:szCs w:val="22"/>
              </w:rPr>
            </w:pPr>
            <w:r w:rsidRPr="006B6D1E">
              <w:rPr>
                <w:szCs w:val="22"/>
              </w:rPr>
              <w:t>Подаци о пројекту</w:t>
            </w:r>
          </w:p>
        </w:tc>
      </w:tr>
      <w:tr w:rsidR="0049647E" w:rsidRPr="006B6D1E" w:rsidTr="0035682D">
        <w:trPr>
          <w:jc w:val="center"/>
        </w:trPr>
        <w:tc>
          <w:tcPr>
            <w:tcW w:w="2830" w:type="dxa"/>
          </w:tcPr>
          <w:p w:rsidR="0049647E" w:rsidRPr="006B6D1E" w:rsidRDefault="0049647E" w:rsidP="0035682D">
            <w:pPr>
              <w:spacing w:after="0" w:line="240" w:lineRule="auto"/>
              <w:jc w:val="left"/>
            </w:pPr>
            <w:r w:rsidRPr="006B6D1E">
              <w:t>Назив пројектно техничке документације</w:t>
            </w:r>
          </w:p>
        </w:tc>
        <w:tc>
          <w:tcPr>
            <w:tcW w:w="6809" w:type="dxa"/>
            <w:shd w:val="clear" w:color="auto" w:fill="auto"/>
          </w:tcPr>
          <w:p w:rsidR="00FF1F89" w:rsidRPr="006B6D1E" w:rsidRDefault="00BA2B09" w:rsidP="0035682D">
            <w:pPr>
              <w:spacing w:after="0" w:line="240" w:lineRule="auto"/>
              <w:jc w:val="left"/>
            </w:pPr>
            <w:r w:rsidRPr="006B6D1E">
              <w:t>Булевар краља Александра I – Реконструкција пешачке зоне са партерним уређењем на КП бр. 2804/1, 2807/1, 2812, 590, 1694 и 1695 КО Топола Варош</w:t>
            </w:r>
          </w:p>
        </w:tc>
      </w:tr>
      <w:tr w:rsidR="0049647E" w:rsidRPr="006B6D1E" w:rsidTr="0035682D">
        <w:trPr>
          <w:jc w:val="center"/>
        </w:trPr>
        <w:tc>
          <w:tcPr>
            <w:tcW w:w="2830" w:type="dxa"/>
          </w:tcPr>
          <w:p w:rsidR="0049647E" w:rsidRPr="006B6D1E" w:rsidRDefault="00EA1E19" w:rsidP="0035682D">
            <w:pPr>
              <w:spacing w:after="0" w:line="240" w:lineRule="auto"/>
              <w:jc w:val="left"/>
            </w:pPr>
            <w:r w:rsidRPr="006B6D1E">
              <w:t>Инвеститор</w:t>
            </w:r>
          </w:p>
        </w:tc>
        <w:tc>
          <w:tcPr>
            <w:tcW w:w="6809" w:type="dxa"/>
            <w:shd w:val="clear" w:color="auto" w:fill="auto"/>
          </w:tcPr>
          <w:p w:rsidR="0049647E" w:rsidRPr="006B6D1E" w:rsidRDefault="00FF1F89" w:rsidP="0035682D">
            <w:pPr>
              <w:spacing w:after="0" w:line="240" w:lineRule="auto"/>
              <w:jc w:val="left"/>
            </w:pPr>
            <w:r w:rsidRPr="006B6D1E">
              <w:t>Општина Топола, Булевар Краља Александра I број 9, Топола</w:t>
            </w:r>
          </w:p>
        </w:tc>
      </w:tr>
      <w:tr w:rsidR="00EA1E19" w:rsidRPr="006B6D1E" w:rsidTr="0035682D">
        <w:trPr>
          <w:jc w:val="center"/>
        </w:trPr>
        <w:tc>
          <w:tcPr>
            <w:tcW w:w="2830" w:type="dxa"/>
          </w:tcPr>
          <w:p w:rsidR="00EA1E19" w:rsidRPr="006B6D1E" w:rsidRDefault="00EA1E19" w:rsidP="0035682D">
            <w:pPr>
              <w:spacing w:after="0" w:line="240" w:lineRule="auto"/>
              <w:jc w:val="left"/>
              <w:rPr>
                <w:highlight w:val="yellow"/>
              </w:rPr>
            </w:pPr>
            <w:r w:rsidRPr="006B6D1E">
              <w:t>Пројектант</w:t>
            </w:r>
          </w:p>
        </w:tc>
        <w:tc>
          <w:tcPr>
            <w:tcW w:w="6809" w:type="dxa"/>
            <w:shd w:val="clear" w:color="auto" w:fill="auto"/>
          </w:tcPr>
          <w:p w:rsidR="00FF1F89" w:rsidRPr="006B6D1E" w:rsidRDefault="00FF1F89" w:rsidP="0035682D">
            <w:pPr>
              <w:spacing w:after="0" w:line="240" w:lineRule="auto"/>
              <w:jc w:val="left"/>
            </w:pPr>
            <w:r w:rsidRPr="006B6D1E">
              <w:t>Текинг доо, Ниш</w:t>
            </w:r>
          </w:p>
          <w:p w:rsidR="00EA1E19" w:rsidRPr="006B6D1E" w:rsidRDefault="00FF1F89" w:rsidP="0035682D">
            <w:pPr>
              <w:spacing w:after="0" w:line="240" w:lineRule="auto"/>
              <w:jc w:val="left"/>
            </w:pPr>
            <w:r w:rsidRPr="006B6D1E">
              <w:t>Булевар Немањића 87, Ниш – Медијана</w:t>
            </w:r>
          </w:p>
        </w:tc>
      </w:tr>
      <w:tr w:rsidR="00EA1E19" w:rsidRPr="006B6D1E" w:rsidTr="0035682D">
        <w:trPr>
          <w:jc w:val="center"/>
        </w:trPr>
        <w:tc>
          <w:tcPr>
            <w:tcW w:w="2830" w:type="dxa"/>
          </w:tcPr>
          <w:p w:rsidR="00EA1E19" w:rsidRPr="006B6D1E" w:rsidRDefault="00EA1E19" w:rsidP="0035682D">
            <w:pPr>
              <w:spacing w:after="0" w:line="240" w:lineRule="auto"/>
              <w:jc w:val="left"/>
            </w:pPr>
            <w:r w:rsidRPr="006B6D1E">
              <w:t>Техничка контрола</w:t>
            </w:r>
          </w:p>
        </w:tc>
        <w:tc>
          <w:tcPr>
            <w:tcW w:w="6809" w:type="dxa"/>
            <w:shd w:val="clear" w:color="auto" w:fill="auto"/>
          </w:tcPr>
          <w:p w:rsidR="00362470" w:rsidRPr="006B6D1E" w:rsidRDefault="00640AE2" w:rsidP="0035682D">
            <w:pPr>
              <w:spacing w:after="0" w:line="240" w:lineRule="auto"/>
              <w:jc w:val="left"/>
            </w:pPr>
            <w:r w:rsidRPr="006B6D1E">
              <w:t>Нема</w:t>
            </w:r>
          </w:p>
        </w:tc>
      </w:tr>
      <w:tr w:rsidR="00EA1E19" w:rsidRPr="006B6D1E" w:rsidTr="0035682D">
        <w:trPr>
          <w:jc w:val="center"/>
        </w:trPr>
        <w:tc>
          <w:tcPr>
            <w:tcW w:w="2830" w:type="dxa"/>
          </w:tcPr>
          <w:p w:rsidR="00EA1E19" w:rsidRPr="006B6D1E" w:rsidRDefault="00EA1E19" w:rsidP="0035682D">
            <w:pPr>
              <w:spacing w:after="0" w:line="240" w:lineRule="auto"/>
              <w:jc w:val="left"/>
            </w:pPr>
            <w:r w:rsidRPr="006B6D1E">
              <w:t xml:space="preserve">Локацијски услови </w:t>
            </w:r>
          </w:p>
        </w:tc>
        <w:tc>
          <w:tcPr>
            <w:tcW w:w="6809" w:type="dxa"/>
            <w:shd w:val="clear" w:color="auto" w:fill="auto"/>
          </w:tcPr>
          <w:p w:rsidR="00EA1E19" w:rsidRPr="006B6D1E" w:rsidRDefault="00FF1F89" w:rsidP="0035682D">
            <w:pPr>
              <w:spacing w:after="0" w:line="240" w:lineRule="auto"/>
              <w:jc w:val="left"/>
            </w:pPr>
            <w:r w:rsidRPr="003016C3">
              <w:t>ROP-TOP-</w:t>
            </w:r>
            <w:r w:rsidR="0035682D" w:rsidRPr="003016C3">
              <w:t>10342-LOC-1/2022 од 12.05.2022.</w:t>
            </w:r>
          </w:p>
        </w:tc>
      </w:tr>
      <w:tr w:rsidR="00825EDC" w:rsidRPr="006B6D1E" w:rsidTr="0035682D">
        <w:trPr>
          <w:jc w:val="center"/>
        </w:trPr>
        <w:tc>
          <w:tcPr>
            <w:tcW w:w="2830" w:type="dxa"/>
          </w:tcPr>
          <w:p w:rsidR="00825EDC" w:rsidRPr="006B6D1E" w:rsidRDefault="00825EDC" w:rsidP="0035682D">
            <w:pPr>
              <w:spacing w:after="0" w:line="240" w:lineRule="auto"/>
              <w:jc w:val="left"/>
              <w:rPr>
                <w:highlight w:val="yellow"/>
              </w:rPr>
            </w:pPr>
            <w:r w:rsidRPr="006B6D1E">
              <w:t>Одобрење за извођење радова</w:t>
            </w:r>
          </w:p>
        </w:tc>
        <w:tc>
          <w:tcPr>
            <w:tcW w:w="6809" w:type="dxa"/>
            <w:shd w:val="clear" w:color="auto" w:fill="auto"/>
          </w:tcPr>
          <w:p w:rsidR="00B57602" w:rsidRDefault="00B57602" w:rsidP="00B57602">
            <w:pPr>
              <w:rPr>
                <w:szCs w:val="22"/>
              </w:rPr>
            </w:pPr>
            <w:r w:rsidRPr="00B57602">
              <w:rPr>
                <w:szCs w:val="22"/>
              </w:rPr>
              <w:t>ROP-TOP-10342-ISAWA-3/2024,</w:t>
            </w:r>
          </w:p>
          <w:p w:rsidR="00B57602" w:rsidRPr="00B57602" w:rsidRDefault="00B57602" w:rsidP="00B57602">
            <w:pPr>
              <w:rPr>
                <w:szCs w:val="22"/>
              </w:rPr>
            </w:pPr>
            <w:r w:rsidRPr="00B57602">
              <w:rPr>
                <w:szCs w:val="22"/>
              </w:rPr>
              <w:t>351-443/</w:t>
            </w:r>
            <w:r w:rsidR="0017410D">
              <w:rPr>
                <w:szCs w:val="22"/>
              </w:rPr>
              <w:t>20</w:t>
            </w:r>
            <w:r w:rsidRPr="00B57602">
              <w:rPr>
                <w:szCs w:val="22"/>
              </w:rPr>
              <w:t>24-02</w:t>
            </w:r>
            <w:r>
              <w:rPr>
                <w:szCs w:val="22"/>
              </w:rPr>
              <w:t xml:space="preserve"> од 08.08.2024.год.</w:t>
            </w:r>
          </w:p>
          <w:p w:rsidR="00B57602" w:rsidRPr="00B57602" w:rsidRDefault="00B57602" w:rsidP="0035682D">
            <w:pPr>
              <w:spacing w:after="0" w:line="240" w:lineRule="auto"/>
              <w:jc w:val="left"/>
            </w:pPr>
          </w:p>
        </w:tc>
      </w:tr>
      <w:tr w:rsidR="00EA1E19" w:rsidRPr="006B6D1E" w:rsidTr="0035682D">
        <w:trPr>
          <w:jc w:val="center"/>
        </w:trPr>
        <w:tc>
          <w:tcPr>
            <w:tcW w:w="2830" w:type="dxa"/>
          </w:tcPr>
          <w:p w:rsidR="00EA1E19" w:rsidRPr="006B6D1E" w:rsidRDefault="00825EDC" w:rsidP="0035682D">
            <w:pPr>
              <w:spacing w:after="0" w:line="240" w:lineRule="auto"/>
              <w:jc w:val="left"/>
              <w:rPr>
                <w:szCs w:val="22"/>
                <w:highlight w:val="yellow"/>
              </w:rPr>
            </w:pPr>
            <w:r w:rsidRPr="006B6D1E">
              <w:rPr>
                <w:szCs w:val="22"/>
              </w:rPr>
              <w:t>Инвестициона вредност</w:t>
            </w:r>
            <w:r w:rsidR="00DD06F9" w:rsidRPr="006B6D1E">
              <w:rPr>
                <w:szCs w:val="22"/>
              </w:rPr>
              <w:t xml:space="preserve"> (ИДП)</w:t>
            </w:r>
          </w:p>
        </w:tc>
        <w:tc>
          <w:tcPr>
            <w:tcW w:w="6809" w:type="dxa"/>
            <w:shd w:val="clear" w:color="auto" w:fill="auto"/>
          </w:tcPr>
          <w:p w:rsidR="00DD06F9" w:rsidRPr="006B6D1E" w:rsidRDefault="00DD06F9" w:rsidP="00DD06F9">
            <w:pPr>
              <w:spacing w:after="0" w:line="240" w:lineRule="auto"/>
            </w:pPr>
            <w:r w:rsidRPr="006B6D1E">
              <w:t xml:space="preserve">Укупно: </w:t>
            </w:r>
            <w:r w:rsidR="00A220D7" w:rsidRPr="006B6D1E">
              <w:t>2</w:t>
            </w:r>
            <w:r w:rsidRPr="006B6D1E">
              <w:t>06</w:t>
            </w:r>
            <w:r w:rsidR="00A220D7" w:rsidRPr="006B6D1E">
              <w:t>.</w:t>
            </w:r>
            <w:r w:rsidRPr="006B6D1E">
              <w:t>888</w:t>
            </w:r>
            <w:r w:rsidR="00A220D7" w:rsidRPr="006B6D1E">
              <w:t>.</w:t>
            </w:r>
            <w:r w:rsidRPr="006B6D1E">
              <w:t>285</w:t>
            </w:r>
            <w:r w:rsidR="00A220D7" w:rsidRPr="006B6D1E">
              <w:t>,</w:t>
            </w:r>
            <w:r w:rsidRPr="006B6D1E">
              <w:t>40</w:t>
            </w:r>
            <w:r w:rsidR="00A220D7" w:rsidRPr="006B6D1E">
              <w:t xml:space="preserve"> </w:t>
            </w:r>
            <w:r w:rsidR="008E6E10" w:rsidRPr="006B6D1E">
              <w:t>динара без ПДВ</w:t>
            </w:r>
          </w:p>
          <w:p w:rsidR="00DD06F9" w:rsidRPr="006B6D1E" w:rsidRDefault="00DD06F9" w:rsidP="00DD06F9">
            <w:pPr>
              <w:spacing w:after="0" w:line="240" w:lineRule="auto"/>
            </w:pPr>
            <w:r w:rsidRPr="006B6D1E">
              <w:t>Вредност целина које се изводе: 122.820.129.94 динара без ПДВ</w:t>
            </w:r>
          </w:p>
        </w:tc>
      </w:tr>
      <w:tr w:rsidR="00275E89" w:rsidRPr="006B6D1E" w:rsidTr="00A93A4B">
        <w:trPr>
          <w:jc w:val="center"/>
        </w:trPr>
        <w:tc>
          <w:tcPr>
            <w:tcW w:w="2830" w:type="dxa"/>
          </w:tcPr>
          <w:p w:rsidR="00275E89" w:rsidRPr="006B6D1E" w:rsidRDefault="00275E89" w:rsidP="00A93A4B">
            <w:pPr>
              <w:spacing w:after="0" w:line="240" w:lineRule="auto"/>
              <w:jc w:val="left"/>
              <w:rPr>
                <w:szCs w:val="22"/>
              </w:rPr>
            </w:pPr>
            <w:r w:rsidRPr="006B6D1E">
              <w:rPr>
                <w:szCs w:val="22"/>
              </w:rPr>
              <w:t>Садржај Идејног пројекта (ИДП)</w:t>
            </w:r>
          </w:p>
        </w:tc>
        <w:tc>
          <w:tcPr>
            <w:tcW w:w="6809" w:type="dxa"/>
            <w:shd w:val="clear" w:color="auto" w:fill="auto"/>
          </w:tcPr>
          <w:tbl>
            <w:tblPr>
              <w:tblW w:w="6521" w:type="dxa"/>
              <w:jc w:val="center"/>
              <w:tblLayout w:type="fixed"/>
              <w:tblLook w:val="0000"/>
            </w:tblPr>
            <w:tblGrid>
              <w:gridCol w:w="563"/>
              <w:gridCol w:w="4221"/>
              <w:gridCol w:w="1737"/>
            </w:tblGrid>
            <w:tr w:rsidR="00275E89" w:rsidRPr="006B6D1E" w:rsidTr="00275E89">
              <w:trPr>
                <w:jc w:val="center"/>
              </w:trPr>
              <w:tc>
                <w:tcPr>
                  <w:tcW w:w="563" w:type="dxa"/>
                  <w:tcBorders>
                    <w:top w:val="single" w:sz="4" w:space="0" w:color="000000"/>
                    <w:left w:val="single" w:sz="4" w:space="0" w:color="000000"/>
                    <w:bottom w:val="single" w:sz="4" w:space="0" w:color="000000"/>
                  </w:tcBorders>
                  <w:shd w:val="clear" w:color="auto" w:fill="auto"/>
                  <w:vAlign w:val="center"/>
                </w:tcPr>
                <w:p w:rsidR="00275E89" w:rsidRPr="006B6D1E" w:rsidRDefault="00275E89" w:rsidP="00A93A4B">
                  <w:pPr>
                    <w:spacing w:before="20" w:after="20"/>
                    <w:jc w:val="center"/>
                    <w:rPr>
                      <w:sz w:val="18"/>
                      <w:szCs w:val="18"/>
                    </w:rPr>
                  </w:pPr>
                  <w:r w:rsidRPr="006B6D1E">
                    <w:rPr>
                      <w:sz w:val="18"/>
                      <w:szCs w:val="18"/>
                    </w:rPr>
                    <w:t>0</w:t>
                  </w:r>
                </w:p>
              </w:tc>
              <w:tc>
                <w:tcPr>
                  <w:tcW w:w="4221" w:type="dxa"/>
                  <w:tcBorders>
                    <w:top w:val="single" w:sz="4" w:space="0" w:color="000000"/>
                    <w:left w:val="single" w:sz="4" w:space="0" w:color="000000"/>
                    <w:bottom w:val="single" w:sz="4" w:space="0" w:color="000000"/>
                  </w:tcBorders>
                  <w:shd w:val="clear" w:color="auto" w:fill="auto"/>
                  <w:vAlign w:val="center"/>
                </w:tcPr>
                <w:p w:rsidR="00275E89" w:rsidRPr="006B6D1E" w:rsidRDefault="00275E89" w:rsidP="00A93A4B">
                  <w:pPr>
                    <w:spacing w:before="20" w:after="20"/>
                    <w:jc w:val="left"/>
                    <w:rPr>
                      <w:sz w:val="18"/>
                      <w:szCs w:val="18"/>
                    </w:rPr>
                  </w:pPr>
                  <w:r w:rsidRPr="006B6D1E">
                    <w:rPr>
                      <w:sz w:val="18"/>
                      <w:szCs w:val="18"/>
                    </w:rPr>
                    <w:t>ГЛАВНА СВЕСКА</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E89" w:rsidRPr="006B6D1E" w:rsidRDefault="00275E89" w:rsidP="00275E89">
                  <w:pPr>
                    <w:rPr>
                      <w:sz w:val="18"/>
                      <w:szCs w:val="18"/>
                    </w:rPr>
                  </w:pPr>
                  <w:r w:rsidRPr="006B6D1E">
                    <w:rPr>
                      <w:sz w:val="18"/>
                      <w:szCs w:val="18"/>
                    </w:rPr>
                    <w:t>039/24-ИДП/0</w:t>
                  </w:r>
                </w:p>
              </w:tc>
            </w:tr>
            <w:tr w:rsidR="00275E89" w:rsidRPr="006B6D1E" w:rsidTr="00275E89">
              <w:trPr>
                <w:jc w:val="center"/>
              </w:trPr>
              <w:tc>
                <w:tcPr>
                  <w:tcW w:w="563" w:type="dxa"/>
                  <w:tcBorders>
                    <w:left w:val="single" w:sz="4" w:space="0" w:color="000000"/>
                    <w:bottom w:val="single" w:sz="4" w:space="0" w:color="000000"/>
                  </w:tcBorders>
                  <w:shd w:val="clear" w:color="auto" w:fill="auto"/>
                  <w:vAlign w:val="center"/>
                </w:tcPr>
                <w:p w:rsidR="00275E89" w:rsidRPr="006B6D1E" w:rsidRDefault="00275E89" w:rsidP="00275E89">
                  <w:pPr>
                    <w:spacing w:before="20" w:after="20"/>
                    <w:jc w:val="center"/>
                    <w:rPr>
                      <w:sz w:val="18"/>
                      <w:szCs w:val="18"/>
                    </w:rPr>
                  </w:pPr>
                  <w:r w:rsidRPr="006B6D1E">
                    <w:rPr>
                      <w:sz w:val="18"/>
                      <w:szCs w:val="18"/>
                    </w:rPr>
                    <w:t>4.1</w:t>
                  </w:r>
                </w:p>
              </w:tc>
              <w:tc>
                <w:tcPr>
                  <w:tcW w:w="4221" w:type="dxa"/>
                  <w:tcBorders>
                    <w:left w:val="single" w:sz="4" w:space="0" w:color="000000"/>
                    <w:bottom w:val="single" w:sz="4" w:space="0" w:color="000000"/>
                  </w:tcBorders>
                  <w:shd w:val="clear" w:color="auto" w:fill="auto"/>
                  <w:vAlign w:val="center"/>
                </w:tcPr>
                <w:p w:rsidR="00275E89" w:rsidRPr="006B6D1E" w:rsidRDefault="00275E89" w:rsidP="00A93A4B">
                  <w:pPr>
                    <w:spacing w:before="20" w:after="20"/>
                    <w:jc w:val="left"/>
                    <w:rPr>
                      <w:sz w:val="18"/>
                      <w:szCs w:val="18"/>
                    </w:rPr>
                  </w:pPr>
                  <w:r w:rsidRPr="006B6D1E">
                    <w:rPr>
                      <w:sz w:val="18"/>
                      <w:szCs w:val="18"/>
                    </w:rPr>
                    <w:t>ПРОЈЕКАТ ЕЛЕКТРОЕНЕРГЕТСКИХ ИНСТАЛАЦИЈА</w:t>
                  </w:r>
                </w:p>
              </w:tc>
              <w:tc>
                <w:tcPr>
                  <w:tcW w:w="1737" w:type="dxa"/>
                  <w:tcBorders>
                    <w:left w:val="single" w:sz="4" w:space="0" w:color="000000"/>
                    <w:bottom w:val="single" w:sz="4" w:space="0" w:color="000000"/>
                    <w:right w:val="single" w:sz="4" w:space="0" w:color="000000"/>
                  </w:tcBorders>
                  <w:shd w:val="clear" w:color="auto" w:fill="auto"/>
                  <w:vAlign w:val="center"/>
                </w:tcPr>
                <w:p w:rsidR="00275E89" w:rsidRPr="006B6D1E" w:rsidRDefault="00275E89" w:rsidP="00A93A4B">
                  <w:pPr>
                    <w:spacing w:before="20" w:after="20"/>
                    <w:rPr>
                      <w:sz w:val="18"/>
                      <w:szCs w:val="18"/>
                    </w:rPr>
                  </w:pPr>
                  <w:r w:rsidRPr="006B6D1E">
                    <w:rPr>
                      <w:sz w:val="18"/>
                      <w:szCs w:val="18"/>
                    </w:rPr>
                    <w:t>039/24-ИДП/4.1</w:t>
                  </w:r>
                </w:p>
              </w:tc>
            </w:tr>
            <w:tr w:rsidR="00275E89" w:rsidRPr="006B6D1E" w:rsidTr="00275E89">
              <w:trPr>
                <w:jc w:val="center"/>
              </w:trPr>
              <w:tc>
                <w:tcPr>
                  <w:tcW w:w="563" w:type="dxa"/>
                  <w:tcBorders>
                    <w:left w:val="single" w:sz="4" w:space="0" w:color="000000"/>
                    <w:bottom w:val="single" w:sz="4" w:space="0" w:color="000000"/>
                  </w:tcBorders>
                  <w:shd w:val="clear" w:color="auto" w:fill="auto"/>
                  <w:vAlign w:val="center"/>
                </w:tcPr>
                <w:p w:rsidR="00275E89" w:rsidRPr="006B6D1E" w:rsidRDefault="00275E89" w:rsidP="00A93A4B">
                  <w:pPr>
                    <w:spacing w:before="20" w:after="20"/>
                    <w:jc w:val="center"/>
                    <w:rPr>
                      <w:sz w:val="18"/>
                      <w:szCs w:val="18"/>
                    </w:rPr>
                  </w:pPr>
                  <w:r w:rsidRPr="006B6D1E">
                    <w:rPr>
                      <w:sz w:val="18"/>
                      <w:szCs w:val="18"/>
                    </w:rPr>
                    <w:t>9.1</w:t>
                  </w:r>
                </w:p>
              </w:tc>
              <w:tc>
                <w:tcPr>
                  <w:tcW w:w="4221" w:type="dxa"/>
                  <w:tcBorders>
                    <w:left w:val="single" w:sz="4" w:space="0" w:color="000000"/>
                    <w:bottom w:val="single" w:sz="4" w:space="0" w:color="000000"/>
                  </w:tcBorders>
                  <w:shd w:val="clear" w:color="auto" w:fill="auto"/>
                  <w:vAlign w:val="center"/>
                </w:tcPr>
                <w:p w:rsidR="00275E89" w:rsidRPr="006B6D1E" w:rsidRDefault="00275E89" w:rsidP="00275E89">
                  <w:pPr>
                    <w:spacing w:before="20" w:after="20"/>
                    <w:jc w:val="left"/>
                    <w:rPr>
                      <w:sz w:val="18"/>
                      <w:szCs w:val="18"/>
                    </w:rPr>
                  </w:pPr>
                  <w:r w:rsidRPr="006B6D1E">
                    <w:rPr>
                      <w:sz w:val="18"/>
                      <w:szCs w:val="18"/>
                    </w:rPr>
                    <w:t>ПРОЈЕКАТ СПОЉНОГ УРЕЂЕЊА</w:t>
                  </w:r>
                </w:p>
              </w:tc>
              <w:tc>
                <w:tcPr>
                  <w:tcW w:w="1737" w:type="dxa"/>
                  <w:tcBorders>
                    <w:left w:val="single" w:sz="4" w:space="0" w:color="000000"/>
                    <w:bottom w:val="single" w:sz="4" w:space="0" w:color="000000"/>
                    <w:right w:val="single" w:sz="4" w:space="0" w:color="000000"/>
                  </w:tcBorders>
                  <w:shd w:val="clear" w:color="auto" w:fill="auto"/>
                  <w:vAlign w:val="center"/>
                </w:tcPr>
                <w:p w:rsidR="00275E89" w:rsidRPr="006B6D1E" w:rsidRDefault="00275E89" w:rsidP="00A93A4B">
                  <w:pPr>
                    <w:spacing w:before="20" w:after="20"/>
                    <w:rPr>
                      <w:sz w:val="18"/>
                      <w:szCs w:val="18"/>
                    </w:rPr>
                  </w:pPr>
                  <w:r w:rsidRPr="006B6D1E">
                    <w:rPr>
                      <w:sz w:val="18"/>
                      <w:szCs w:val="18"/>
                    </w:rPr>
                    <w:t>039/24-ИДП/9.1</w:t>
                  </w:r>
                </w:p>
              </w:tc>
            </w:tr>
            <w:tr w:rsidR="00275E89" w:rsidRPr="006B6D1E" w:rsidTr="00275E89">
              <w:trPr>
                <w:jc w:val="center"/>
              </w:trPr>
              <w:tc>
                <w:tcPr>
                  <w:tcW w:w="563" w:type="dxa"/>
                  <w:tcBorders>
                    <w:top w:val="single" w:sz="4" w:space="0" w:color="000000"/>
                    <w:left w:val="single" w:sz="4" w:space="0" w:color="000000"/>
                    <w:bottom w:val="single" w:sz="4" w:space="0" w:color="000000"/>
                  </w:tcBorders>
                  <w:shd w:val="clear" w:color="auto" w:fill="auto"/>
                  <w:vAlign w:val="center"/>
                </w:tcPr>
                <w:p w:rsidR="00275E89" w:rsidRPr="006B6D1E" w:rsidRDefault="00275E89" w:rsidP="00A93A4B">
                  <w:pPr>
                    <w:spacing w:before="20" w:after="20"/>
                    <w:jc w:val="center"/>
                    <w:rPr>
                      <w:sz w:val="18"/>
                      <w:szCs w:val="18"/>
                    </w:rPr>
                  </w:pPr>
                  <w:r w:rsidRPr="006B6D1E">
                    <w:rPr>
                      <w:color w:val="000000"/>
                      <w:sz w:val="18"/>
                      <w:szCs w:val="18"/>
                    </w:rPr>
                    <w:t>9.2</w:t>
                  </w:r>
                </w:p>
              </w:tc>
              <w:tc>
                <w:tcPr>
                  <w:tcW w:w="4221" w:type="dxa"/>
                  <w:tcBorders>
                    <w:top w:val="single" w:sz="4" w:space="0" w:color="000000"/>
                    <w:left w:val="single" w:sz="4" w:space="0" w:color="000000"/>
                    <w:bottom w:val="single" w:sz="4" w:space="0" w:color="000000"/>
                  </w:tcBorders>
                  <w:shd w:val="clear" w:color="auto" w:fill="auto"/>
                  <w:vAlign w:val="center"/>
                </w:tcPr>
                <w:p w:rsidR="00275E89" w:rsidRPr="006B6D1E" w:rsidRDefault="00275E89" w:rsidP="00A93A4B">
                  <w:pPr>
                    <w:spacing w:before="20" w:after="20"/>
                    <w:jc w:val="left"/>
                    <w:rPr>
                      <w:sz w:val="18"/>
                      <w:szCs w:val="18"/>
                    </w:rPr>
                  </w:pPr>
                  <w:r w:rsidRPr="006B6D1E">
                    <w:rPr>
                      <w:sz w:val="18"/>
                      <w:szCs w:val="18"/>
                    </w:rPr>
                    <w:t>ПРОЈЕКАТ СПОЉНОГ УРЕЂЕЊА - ОЗЕЛЕЊАВАЊЕ</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E89" w:rsidRPr="006B6D1E" w:rsidRDefault="00275E89" w:rsidP="00A93A4B">
                  <w:pPr>
                    <w:spacing w:before="20" w:after="20"/>
                    <w:rPr>
                      <w:sz w:val="18"/>
                      <w:szCs w:val="18"/>
                    </w:rPr>
                  </w:pPr>
                  <w:r w:rsidRPr="006B6D1E">
                    <w:rPr>
                      <w:sz w:val="18"/>
                      <w:szCs w:val="18"/>
                    </w:rPr>
                    <w:t>039/24-ИДП/9.2</w:t>
                  </w:r>
                </w:p>
              </w:tc>
            </w:tr>
          </w:tbl>
          <w:p w:rsidR="00275E89" w:rsidRPr="006B6D1E" w:rsidRDefault="00275E89" w:rsidP="00A93A4B">
            <w:pPr>
              <w:spacing w:after="0" w:line="240" w:lineRule="auto"/>
              <w:jc w:val="left"/>
            </w:pPr>
          </w:p>
        </w:tc>
      </w:tr>
      <w:tr w:rsidR="00275E89" w:rsidRPr="006B6D1E" w:rsidTr="00A93A4B">
        <w:trPr>
          <w:jc w:val="center"/>
        </w:trPr>
        <w:tc>
          <w:tcPr>
            <w:tcW w:w="2830" w:type="dxa"/>
          </w:tcPr>
          <w:p w:rsidR="00275E89" w:rsidRPr="006B6D1E" w:rsidRDefault="00275E89" w:rsidP="00A93A4B">
            <w:pPr>
              <w:spacing w:after="0" w:line="240" w:lineRule="auto"/>
              <w:jc w:val="left"/>
              <w:rPr>
                <w:szCs w:val="22"/>
              </w:rPr>
            </w:pPr>
            <w:r w:rsidRPr="006B6D1E">
              <w:rPr>
                <w:szCs w:val="22"/>
              </w:rPr>
              <w:t>Садржај Пројекта за извођење (ПЗИ)</w:t>
            </w:r>
          </w:p>
        </w:tc>
        <w:tc>
          <w:tcPr>
            <w:tcW w:w="6809" w:type="dxa"/>
            <w:shd w:val="clear" w:color="auto" w:fill="auto"/>
          </w:tcPr>
          <w:p w:rsidR="00275E89" w:rsidRPr="006B6D1E" w:rsidRDefault="00941AC5" w:rsidP="00A93A4B">
            <w:pPr>
              <w:spacing w:after="0" w:line="240" w:lineRule="auto"/>
              <w:jc w:val="left"/>
            </w:pPr>
            <w:r>
              <w:t xml:space="preserve">Допуна ПЗИ </w:t>
            </w:r>
            <w:r w:rsidR="00275E89" w:rsidRPr="006B6D1E">
              <w:t>у изради</w:t>
            </w:r>
          </w:p>
        </w:tc>
      </w:tr>
      <w:tr w:rsidR="004F4311" w:rsidRPr="006B6D1E" w:rsidTr="0035682D">
        <w:trPr>
          <w:jc w:val="center"/>
        </w:trPr>
        <w:tc>
          <w:tcPr>
            <w:tcW w:w="9639" w:type="dxa"/>
            <w:gridSpan w:val="2"/>
          </w:tcPr>
          <w:p w:rsidR="004F4311" w:rsidRPr="006B6D1E" w:rsidRDefault="004F4311" w:rsidP="0035682D">
            <w:pPr>
              <w:spacing w:after="0" w:line="240" w:lineRule="auto"/>
              <w:jc w:val="left"/>
              <w:rPr>
                <w:szCs w:val="22"/>
                <w:highlight w:val="yellow"/>
              </w:rPr>
            </w:pPr>
            <w:r w:rsidRPr="006B6D1E">
              <w:rPr>
                <w:szCs w:val="22"/>
              </w:rPr>
              <w:t>Општи подаци о објекту и локацији</w:t>
            </w:r>
          </w:p>
        </w:tc>
      </w:tr>
      <w:tr w:rsidR="008F38C4" w:rsidRPr="006B6D1E" w:rsidTr="0035682D">
        <w:trPr>
          <w:jc w:val="center"/>
        </w:trPr>
        <w:tc>
          <w:tcPr>
            <w:tcW w:w="2830" w:type="dxa"/>
          </w:tcPr>
          <w:p w:rsidR="008F38C4" w:rsidRPr="006B6D1E" w:rsidRDefault="004F4311" w:rsidP="0035682D">
            <w:pPr>
              <w:spacing w:after="0" w:line="240" w:lineRule="auto"/>
              <w:jc w:val="left"/>
              <w:rPr>
                <w:szCs w:val="22"/>
              </w:rPr>
            </w:pPr>
            <w:r w:rsidRPr="006B6D1E">
              <w:rPr>
                <w:szCs w:val="22"/>
              </w:rPr>
              <w:t>Тип објекта</w:t>
            </w:r>
          </w:p>
        </w:tc>
        <w:tc>
          <w:tcPr>
            <w:tcW w:w="6809" w:type="dxa"/>
            <w:shd w:val="clear" w:color="auto" w:fill="auto"/>
          </w:tcPr>
          <w:p w:rsidR="008F38C4" w:rsidRPr="006B6D1E" w:rsidRDefault="00FD6D40" w:rsidP="0035682D">
            <w:pPr>
              <w:spacing w:after="0" w:line="240" w:lineRule="auto"/>
              <w:jc w:val="left"/>
              <w:rPr>
                <w:szCs w:val="22"/>
              </w:rPr>
            </w:pPr>
            <w:r w:rsidRPr="006B6D1E">
              <w:rPr>
                <w:szCs w:val="22"/>
              </w:rPr>
              <w:t>Линијски објекат – саобраћајна инфраструктура (саобраћајница)</w:t>
            </w:r>
          </w:p>
        </w:tc>
      </w:tr>
      <w:tr w:rsidR="004F4311" w:rsidRPr="006B6D1E" w:rsidTr="0035682D">
        <w:trPr>
          <w:jc w:val="center"/>
        </w:trPr>
        <w:tc>
          <w:tcPr>
            <w:tcW w:w="2830" w:type="dxa"/>
          </w:tcPr>
          <w:p w:rsidR="004F4311" w:rsidRPr="006B6D1E" w:rsidRDefault="004F4311" w:rsidP="0035682D">
            <w:pPr>
              <w:spacing w:after="0" w:line="240" w:lineRule="auto"/>
              <w:jc w:val="left"/>
              <w:rPr>
                <w:szCs w:val="22"/>
              </w:rPr>
            </w:pPr>
            <w:r w:rsidRPr="006B6D1E">
              <w:rPr>
                <w:szCs w:val="22"/>
              </w:rPr>
              <w:t>Врста радова</w:t>
            </w:r>
          </w:p>
        </w:tc>
        <w:tc>
          <w:tcPr>
            <w:tcW w:w="6809" w:type="dxa"/>
            <w:shd w:val="clear" w:color="auto" w:fill="auto"/>
          </w:tcPr>
          <w:p w:rsidR="004F4311" w:rsidRPr="006B6D1E" w:rsidRDefault="00FD6D40" w:rsidP="0035682D">
            <w:pPr>
              <w:spacing w:after="0" w:line="240" w:lineRule="auto"/>
              <w:jc w:val="left"/>
              <w:rPr>
                <w:szCs w:val="22"/>
              </w:rPr>
            </w:pPr>
            <w:r w:rsidRPr="006B6D1E">
              <w:rPr>
                <w:szCs w:val="22"/>
              </w:rPr>
              <w:t>Реконструкција</w:t>
            </w:r>
          </w:p>
        </w:tc>
      </w:tr>
      <w:tr w:rsidR="004F4311" w:rsidRPr="006B6D1E" w:rsidTr="0035682D">
        <w:trPr>
          <w:jc w:val="center"/>
        </w:trPr>
        <w:tc>
          <w:tcPr>
            <w:tcW w:w="2830" w:type="dxa"/>
          </w:tcPr>
          <w:p w:rsidR="004F4311" w:rsidRPr="006B6D1E" w:rsidRDefault="004F4311" w:rsidP="0035682D">
            <w:pPr>
              <w:spacing w:after="0" w:line="240" w:lineRule="auto"/>
              <w:jc w:val="left"/>
              <w:rPr>
                <w:szCs w:val="22"/>
              </w:rPr>
            </w:pPr>
            <w:r w:rsidRPr="006B6D1E">
              <w:rPr>
                <w:szCs w:val="22"/>
              </w:rPr>
              <w:t>Категорија објекта</w:t>
            </w:r>
          </w:p>
        </w:tc>
        <w:tc>
          <w:tcPr>
            <w:tcW w:w="6809" w:type="dxa"/>
            <w:shd w:val="clear" w:color="auto" w:fill="auto"/>
          </w:tcPr>
          <w:p w:rsidR="004F4311" w:rsidRPr="006B6D1E" w:rsidRDefault="00FD6D40" w:rsidP="0035682D">
            <w:pPr>
              <w:spacing w:after="0" w:line="240" w:lineRule="auto"/>
              <w:jc w:val="left"/>
              <w:rPr>
                <w:szCs w:val="22"/>
              </w:rPr>
            </w:pPr>
            <w:r w:rsidRPr="006B6D1E">
              <w:rPr>
                <w:szCs w:val="22"/>
              </w:rPr>
              <w:t>211201</w:t>
            </w:r>
            <w:r w:rsidR="00D32E3B" w:rsidRPr="006B6D1E">
              <w:rPr>
                <w:szCs w:val="22"/>
              </w:rPr>
              <w:t xml:space="preserve"> Г</w:t>
            </w:r>
          </w:p>
        </w:tc>
      </w:tr>
      <w:tr w:rsidR="004F4311" w:rsidRPr="006B6D1E" w:rsidTr="0035682D">
        <w:trPr>
          <w:jc w:val="center"/>
        </w:trPr>
        <w:tc>
          <w:tcPr>
            <w:tcW w:w="2830" w:type="dxa"/>
          </w:tcPr>
          <w:p w:rsidR="004F4311" w:rsidRPr="006B6D1E" w:rsidRDefault="004F4311" w:rsidP="0035682D">
            <w:pPr>
              <w:spacing w:after="0" w:line="240" w:lineRule="auto"/>
              <w:jc w:val="left"/>
              <w:rPr>
                <w:szCs w:val="22"/>
              </w:rPr>
            </w:pPr>
            <w:r w:rsidRPr="006B6D1E">
              <w:rPr>
                <w:szCs w:val="22"/>
              </w:rPr>
              <w:t>Место</w:t>
            </w:r>
          </w:p>
        </w:tc>
        <w:tc>
          <w:tcPr>
            <w:tcW w:w="6809" w:type="dxa"/>
            <w:shd w:val="clear" w:color="auto" w:fill="auto"/>
          </w:tcPr>
          <w:p w:rsidR="004F4311" w:rsidRPr="006B6D1E" w:rsidRDefault="00660ACE" w:rsidP="0035682D">
            <w:pPr>
              <w:spacing w:after="0" w:line="240" w:lineRule="auto"/>
              <w:jc w:val="left"/>
              <w:rPr>
                <w:szCs w:val="22"/>
              </w:rPr>
            </w:pPr>
            <w:r w:rsidRPr="006B6D1E">
              <w:rPr>
                <w:szCs w:val="22"/>
              </w:rPr>
              <w:t>К.О. Топола Варош</w:t>
            </w:r>
            <w:r w:rsidR="004F4311" w:rsidRPr="006B6D1E">
              <w:rPr>
                <w:szCs w:val="22"/>
              </w:rPr>
              <w:t xml:space="preserve">, </w:t>
            </w:r>
            <w:r w:rsidRPr="006B6D1E">
              <w:rPr>
                <w:szCs w:val="22"/>
              </w:rPr>
              <w:t>Општина Топола</w:t>
            </w:r>
            <w:r w:rsidR="004F4311" w:rsidRPr="006B6D1E">
              <w:rPr>
                <w:szCs w:val="22"/>
              </w:rPr>
              <w:t xml:space="preserve">, </w:t>
            </w:r>
            <w:r w:rsidRPr="006B6D1E">
              <w:rPr>
                <w:szCs w:val="22"/>
              </w:rPr>
              <w:t>Шумадијски</w:t>
            </w:r>
            <w:r w:rsidR="004F4311" w:rsidRPr="006B6D1E">
              <w:rPr>
                <w:szCs w:val="22"/>
              </w:rPr>
              <w:t xml:space="preserve"> </w:t>
            </w:r>
            <w:r w:rsidR="00157CB1" w:rsidRPr="006B6D1E">
              <w:rPr>
                <w:szCs w:val="22"/>
              </w:rPr>
              <w:t>о</w:t>
            </w:r>
            <w:r w:rsidR="004F4311" w:rsidRPr="006B6D1E">
              <w:rPr>
                <w:szCs w:val="22"/>
              </w:rPr>
              <w:t>круг</w:t>
            </w:r>
          </w:p>
        </w:tc>
      </w:tr>
      <w:tr w:rsidR="004F4311" w:rsidRPr="006B6D1E" w:rsidTr="0035682D">
        <w:trPr>
          <w:jc w:val="center"/>
        </w:trPr>
        <w:tc>
          <w:tcPr>
            <w:tcW w:w="2830" w:type="dxa"/>
          </w:tcPr>
          <w:p w:rsidR="004F4311" w:rsidRPr="006B6D1E" w:rsidRDefault="004F4311" w:rsidP="0035682D">
            <w:pPr>
              <w:spacing w:after="0" w:line="240" w:lineRule="auto"/>
              <w:jc w:val="left"/>
              <w:rPr>
                <w:szCs w:val="22"/>
                <w:highlight w:val="yellow"/>
              </w:rPr>
            </w:pPr>
            <w:r w:rsidRPr="006B6D1E">
              <w:rPr>
                <w:szCs w:val="22"/>
              </w:rPr>
              <w:t>Број катастарских парцела и катастарских општина</w:t>
            </w:r>
          </w:p>
        </w:tc>
        <w:tc>
          <w:tcPr>
            <w:tcW w:w="6809" w:type="dxa"/>
            <w:shd w:val="clear" w:color="auto" w:fill="auto"/>
          </w:tcPr>
          <w:p w:rsidR="008231F1" w:rsidRPr="006B6D1E" w:rsidRDefault="00D32E3B" w:rsidP="0035682D">
            <w:pPr>
              <w:spacing w:after="0" w:line="240" w:lineRule="auto"/>
              <w:jc w:val="left"/>
              <w:rPr>
                <w:szCs w:val="22"/>
              </w:rPr>
            </w:pPr>
            <w:r w:rsidRPr="006B6D1E">
              <w:rPr>
                <w:szCs w:val="22"/>
              </w:rPr>
              <w:t>КП 2804/1, 2807/1, 2812, 590, 1694 и 1695 КО Топола Варош</w:t>
            </w:r>
          </w:p>
        </w:tc>
      </w:tr>
      <w:tr w:rsidR="004F4311" w:rsidRPr="006B6D1E" w:rsidTr="0035682D">
        <w:trPr>
          <w:jc w:val="center"/>
        </w:trPr>
        <w:tc>
          <w:tcPr>
            <w:tcW w:w="2830" w:type="dxa"/>
          </w:tcPr>
          <w:p w:rsidR="004F4311" w:rsidRPr="006B6D1E" w:rsidRDefault="00FD6D40" w:rsidP="0035682D">
            <w:pPr>
              <w:spacing w:after="0" w:line="240" w:lineRule="auto"/>
              <w:jc w:val="left"/>
              <w:rPr>
                <w:szCs w:val="22"/>
                <w:highlight w:val="yellow"/>
              </w:rPr>
            </w:pPr>
            <w:r w:rsidRPr="006B6D1E">
              <w:rPr>
                <w:szCs w:val="22"/>
              </w:rPr>
              <w:t>Димензије објекта</w:t>
            </w:r>
          </w:p>
        </w:tc>
        <w:tc>
          <w:tcPr>
            <w:tcW w:w="6809" w:type="dxa"/>
            <w:shd w:val="clear" w:color="auto" w:fill="auto"/>
          </w:tcPr>
          <w:tbl>
            <w:tblPr>
              <w:tblStyle w:val="TableGrid"/>
              <w:tblW w:w="0" w:type="auto"/>
              <w:tblBorders>
                <w:insideH w:val="dotted" w:sz="4" w:space="0" w:color="auto"/>
              </w:tblBorders>
              <w:tblLayout w:type="fixed"/>
              <w:tblCellMar>
                <w:top w:w="28" w:type="dxa"/>
                <w:bottom w:w="28" w:type="dxa"/>
              </w:tblCellMar>
              <w:tblLook w:val="04A0"/>
            </w:tblPr>
            <w:tblGrid>
              <w:gridCol w:w="3291"/>
              <w:gridCol w:w="3292"/>
            </w:tblGrid>
            <w:tr w:rsidR="00FD6D40" w:rsidRPr="006B6D1E" w:rsidTr="004C0CA6">
              <w:tc>
                <w:tcPr>
                  <w:tcW w:w="3291" w:type="dxa"/>
                  <w:tcBorders>
                    <w:bottom w:val="single" w:sz="4" w:space="0" w:color="auto"/>
                  </w:tcBorders>
                </w:tcPr>
                <w:p w:rsidR="00FD6D40" w:rsidRPr="006B6D1E" w:rsidRDefault="00493B91" w:rsidP="0035682D">
                  <w:pPr>
                    <w:spacing w:after="0" w:line="240" w:lineRule="auto"/>
                    <w:jc w:val="left"/>
                    <w:rPr>
                      <w:sz w:val="20"/>
                      <w:highlight w:val="yellow"/>
                    </w:rPr>
                  </w:pPr>
                  <w:r w:rsidRPr="006B6D1E">
                    <w:rPr>
                      <w:sz w:val="20"/>
                    </w:rPr>
                    <w:t>Укупна површина</w:t>
                  </w:r>
                </w:p>
              </w:tc>
              <w:tc>
                <w:tcPr>
                  <w:tcW w:w="3292" w:type="dxa"/>
                  <w:tcBorders>
                    <w:bottom w:val="single" w:sz="4" w:space="0" w:color="auto"/>
                  </w:tcBorders>
                </w:tcPr>
                <w:p w:rsidR="00FD6D40" w:rsidRPr="006B6D1E" w:rsidRDefault="00493B91" w:rsidP="009A70E7">
                  <w:pPr>
                    <w:spacing w:after="0" w:line="240" w:lineRule="auto"/>
                    <w:jc w:val="left"/>
                    <w:rPr>
                      <w:sz w:val="20"/>
                    </w:rPr>
                  </w:pPr>
                  <w:r w:rsidRPr="006B6D1E">
                    <w:rPr>
                      <w:sz w:val="20"/>
                    </w:rPr>
                    <w:t>8</w:t>
                  </w:r>
                  <w:r w:rsidR="009A70E7" w:rsidRPr="006B6D1E">
                    <w:rPr>
                      <w:sz w:val="20"/>
                    </w:rPr>
                    <w:t>.</w:t>
                  </w:r>
                  <w:r w:rsidRPr="006B6D1E">
                    <w:rPr>
                      <w:sz w:val="20"/>
                    </w:rPr>
                    <w:t>476</w:t>
                  </w:r>
                  <w:r w:rsidR="009A70E7" w:rsidRPr="006B6D1E">
                    <w:rPr>
                      <w:sz w:val="20"/>
                    </w:rPr>
                    <w:t>,</w:t>
                  </w:r>
                  <w:r w:rsidRPr="006B6D1E">
                    <w:rPr>
                      <w:sz w:val="20"/>
                    </w:rPr>
                    <w:t>00м</w:t>
                  </w:r>
                  <w:r w:rsidRPr="006B6D1E">
                    <w:rPr>
                      <w:sz w:val="20"/>
                      <w:vertAlign w:val="superscript"/>
                    </w:rPr>
                    <w:t>2</w:t>
                  </w:r>
                </w:p>
              </w:tc>
            </w:tr>
            <w:tr w:rsidR="00FD6D40" w:rsidRPr="006B6D1E" w:rsidTr="004C0CA6">
              <w:tc>
                <w:tcPr>
                  <w:tcW w:w="3291" w:type="dxa"/>
                  <w:tcBorders>
                    <w:top w:val="single" w:sz="4" w:space="0" w:color="auto"/>
                  </w:tcBorders>
                </w:tcPr>
                <w:p w:rsidR="00FD6D40" w:rsidRPr="006B6D1E" w:rsidRDefault="00493B91" w:rsidP="0035682D">
                  <w:pPr>
                    <w:spacing w:after="0" w:line="240" w:lineRule="auto"/>
                    <w:jc w:val="left"/>
                    <w:rPr>
                      <w:bCs/>
                      <w:sz w:val="20"/>
                    </w:rPr>
                  </w:pPr>
                  <w:r w:rsidRPr="006B6D1E">
                    <w:rPr>
                      <w:bCs/>
                      <w:sz w:val="20"/>
                    </w:rPr>
                    <w:t>Површина Целине 1</w:t>
                  </w:r>
                </w:p>
              </w:tc>
              <w:tc>
                <w:tcPr>
                  <w:tcW w:w="3292" w:type="dxa"/>
                  <w:tcBorders>
                    <w:top w:val="single" w:sz="4" w:space="0" w:color="auto"/>
                  </w:tcBorders>
                </w:tcPr>
                <w:p w:rsidR="00FD6D40" w:rsidRPr="006B6D1E" w:rsidRDefault="00493B91" w:rsidP="0035682D">
                  <w:pPr>
                    <w:spacing w:after="0" w:line="240" w:lineRule="auto"/>
                    <w:jc w:val="left"/>
                    <w:rPr>
                      <w:sz w:val="20"/>
                    </w:rPr>
                  </w:pPr>
                  <w:r w:rsidRPr="006B6D1E">
                    <w:rPr>
                      <w:sz w:val="20"/>
                    </w:rPr>
                    <w:t>7,364.00м</w:t>
                  </w:r>
                  <w:r w:rsidRPr="006B6D1E">
                    <w:rPr>
                      <w:sz w:val="20"/>
                      <w:vertAlign w:val="superscript"/>
                    </w:rPr>
                    <w:t>2</w:t>
                  </w:r>
                </w:p>
              </w:tc>
            </w:tr>
            <w:tr w:rsidR="00FD6D40" w:rsidRPr="006B6D1E" w:rsidTr="004C0CA6">
              <w:tc>
                <w:tcPr>
                  <w:tcW w:w="3291" w:type="dxa"/>
                </w:tcPr>
                <w:p w:rsidR="00FD6D40" w:rsidRPr="006B6D1E" w:rsidRDefault="00493B91" w:rsidP="0035682D">
                  <w:pPr>
                    <w:spacing w:after="0" w:line="240" w:lineRule="auto"/>
                    <w:jc w:val="left"/>
                    <w:rPr>
                      <w:sz w:val="20"/>
                    </w:rPr>
                  </w:pPr>
                  <w:r w:rsidRPr="006B6D1E">
                    <w:rPr>
                      <w:sz w:val="20"/>
                    </w:rPr>
                    <w:t>Површина зеленила</w:t>
                  </w:r>
                </w:p>
              </w:tc>
              <w:tc>
                <w:tcPr>
                  <w:tcW w:w="3292" w:type="dxa"/>
                </w:tcPr>
                <w:p w:rsidR="00FD6D40" w:rsidRPr="006B6D1E" w:rsidRDefault="00493B91" w:rsidP="0035682D">
                  <w:pPr>
                    <w:spacing w:after="0" w:line="240" w:lineRule="auto"/>
                    <w:jc w:val="left"/>
                    <w:rPr>
                      <w:sz w:val="20"/>
                    </w:rPr>
                  </w:pPr>
                  <w:r w:rsidRPr="006B6D1E">
                    <w:rPr>
                      <w:sz w:val="20"/>
                    </w:rPr>
                    <w:t>892.23м</w:t>
                  </w:r>
                  <w:r w:rsidRPr="006B6D1E">
                    <w:rPr>
                      <w:sz w:val="20"/>
                      <w:vertAlign w:val="superscript"/>
                    </w:rPr>
                    <w:t>2</w:t>
                  </w:r>
                </w:p>
              </w:tc>
            </w:tr>
            <w:tr w:rsidR="00A95E7A" w:rsidRPr="006B6D1E" w:rsidTr="004C0CA6">
              <w:tc>
                <w:tcPr>
                  <w:tcW w:w="3291" w:type="dxa"/>
                </w:tcPr>
                <w:p w:rsidR="00A95E7A" w:rsidRPr="006B6D1E" w:rsidRDefault="00493B91" w:rsidP="0035682D">
                  <w:pPr>
                    <w:spacing w:after="0" w:line="240" w:lineRule="auto"/>
                    <w:jc w:val="left"/>
                    <w:rPr>
                      <w:sz w:val="20"/>
                    </w:rPr>
                  </w:pPr>
                  <w:r w:rsidRPr="006B6D1E">
                    <w:rPr>
                      <w:sz w:val="20"/>
                    </w:rPr>
                    <w:t>Број паркинг места</w:t>
                  </w:r>
                </w:p>
              </w:tc>
              <w:tc>
                <w:tcPr>
                  <w:tcW w:w="3292" w:type="dxa"/>
                </w:tcPr>
                <w:p w:rsidR="00A95E7A" w:rsidRPr="006B6D1E" w:rsidRDefault="009A70E7" w:rsidP="0035682D">
                  <w:pPr>
                    <w:spacing w:after="0" w:line="240" w:lineRule="auto"/>
                    <w:jc w:val="left"/>
                    <w:rPr>
                      <w:sz w:val="20"/>
                    </w:rPr>
                  </w:pPr>
                  <w:r w:rsidRPr="006B6D1E">
                    <w:rPr>
                      <w:sz w:val="20"/>
                    </w:rPr>
                    <w:t>89</w:t>
                  </w:r>
                </w:p>
              </w:tc>
            </w:tr>
            <w:tr w:rsidR="00493B91" w:rsidRPr="006B6D1E" w:rsidTr="004C0CA6">
              <w:trPr>
                <w:trHeight w:val="286"/>
              </w:trPr>
              <w:tc>
                <w:tcPr>
                  <w:tcW w:w="3291" w:type="dxa"/>
                </w:tcPr>
                <w:p w:rsidR="00493B91" w:rsidRPr="006B6D1E" w:rsidRDefault="00493B91" w:rsidP="009A70E7">
                  <w:pPr>
                    <w:spacing w:after="0" w:line="240" w:lineRule="auto"/>
                    <w:ind w:left="284"/>
                    <w:jc w:val="left"/>
                    <w:rPr>
                      <w:sz w:val="20"/>
                    </w:rPr>
                  </w:pPr>
                  <w:r w:rsidRPr="006B6D1E">
                    <w:rPr>
                      <w:sz w:val="20"/>
                    </w:rPr>
                    <w:t>Подцелина 1.1</w:t>
                  </w:r>
                </w:p>
              </w:tc>
              <w:tc>
                <w:tcPr>
                  <w:tcW w:w="3292" w:type="dxa"/>
                </w:tcPr>
                <w:p w:rsidR="00493B91" w:rsidRPr="006B6D1E" w:rsidRDefault="00564B42" w:rsidP="009A70E7">
                  <w:pPr>
                    <w:spacing w:after="0" w:line="240" w:lineRule="auto"/>
                    <w:ind w:left="284"/>
                    <w:jc w:val="left"/>
                    <w:rPr>
                      <w:sz w:val="20"/>
                    </w:rPr>
                  </w:pPr>
                  <w:r w:rsidRPr="006B6D1E">
                    <w:rPr>
                      <w:sz w:val="20"/>
                    </w:rPr>
                    <w:t>2</w:t>
                  </w:r>
                  <w:r w:rsidR="00657C9F" w:rsidRPr="006B6D1E">
                    <w:rPr>
                      <w:sz w:val="20"/>
                    </w:rPr>
                    <w:t>,</w:t>
                  </w:r>
                  <w:r w:rsidRPr="006B6D1E">
                    <w:rPr>
                      <w:sz w:val="20"/>
                    </w:rPr>
                    <w:t>275</w:t>
                  </w:r>
                  <w:r w:rsidR="00657C9F" w:rsidRPr="006B6D1E">
                    <w:rPr>
                      <w:sz w:val="20"/>
                    </w:rPr>
                    <w:t>.</w:t>
                  </w:r>
                  <w:r w:rsidRPr="006B6D1E">
                    <w:rPr>
                      <w:sz w:val="20"/>
                    </w:rPr>
                    <w:t>63</w:t>
                  </w:r>
                  <w:r w:rsidR="00657C9F" w:rsidRPr="006B6D1E">
                    <w:rPr>
                      <w:sz w:val="20"/>
                    </w:rPr>
                    <w:t>м</w:t>
                  </w:r>
                  <w:r w:rsidR="00657C9F" w:rsidRPr="006B6D1E">
                    <w:rPr>
                      <w:sz w:val="20"/>
                      <w:vertAlign w:val="superscript"/>
                    </w:rPr>
                    <w:t>2</w:t>
                  </w:r>
                </w:p>
              </w:tc>
            </w:tr>
            <w:tr w:rsidR="00493B91" w:rsidRPr="006B6D1E" w:rsidTr="004C0CA6">
              <w:tc>
                <w:tcPr>
                  <w:tcW w:w="3291" w:type="dxa"/>
                </w:tcPr>
                <w:p w:rsidR="00493B91" w:rsidRPr="006B6D1E" w:rsidRDefault="00493B91" w:rsidP="009A70E7">
                  <w:pPr>
                    <w:spacing w:after="0" w:line="240" w:lineRule="auto"/>
                    <w:ind w:left="284"/>
                    <w:jc w:val="left"/>
                    <w:rPr>
                      <w:sz w:val="20"/>
                    </w:rPr>
                  </w:pPr>
                  <w:r w:rsidRPr="006B6D1E">
                    <w:rPr>
                      <w:sz w:val="20"/>
                    </w:rPr>
                    <w:t>Површина зеленила</w:t>
                  </w:r>
                </w:p>
              </w:tc>
              <w:tc>
                <w:tcPr>
                  <w:tcW w:w="3292" w:type="dxa"/>
                </w:tcPr>
                <w:p w:rsidR="00493B91" w:rsidRPr="006B6D1E" w:rsidRDefault="00564B42" w:rsidP="009A70E7">
                  <w:pPr>
                    <w:spacing w:after="0" w:line="240" w:lineRule="auto"/>
                    <w:ind w:left="284"/>
                    <w:jc w:val="left"/>
                    <w:rPr>
                      <w:sz w:val="20"/>
                    </w:rPr>
                  </w:pPr>
                  <w:r w:rsidRPr="006B6D1E">
                    <w:rPr>
                      <w:sz w:val="20"/>
                    </w:rPr>
                    <w:t>376</w:t>
                  </w:r>
                  <w:r w:rsidR="00657C9F" w:rsidRPr="006B6D1E">
                    <w:rPr>
                      <w:sz w:val="20"/>
                    </w:rPr>
                    <w:t>.</w:t>
                  </w:r>
                  <w:r w:rsidRPr="006B6D1E">
                    <w:rPr>
                      <w:sz w:val="20"/>
                    </w:rPr>
                    <w:t>44</w:t>
                  </w:r>
                  <w:r w:rsidR="00657C9F" w:rsidRPr="006B6D1E">
                    <w:rPr>
                      <w:sz w:val="20"/>
                    </w:rPr>
                    <w:t>м</w:t>
                  </w:r>
                  <w:r w:rsidR="00657C9F" w:rsidRPr="006B6D1E">
                    <w:rPr>
                      <w:sz w:val="20"/>
                      <w:vertAlign w:val="superscript"/>
                    </w:rPr>
                    <w:t>2</w:t>
                  </w:r>
                </w:p>
              </w:tc>
            </w:tr>
            <w:tr w:rsidR="00493B91" w:rsidRPr="006B6D1E" w:rsidTr="004C0CA6">
              <w:tc>
                <w:tcPr>
                  <w:tcW w:w="3291" w:type="dxa"/>
                </w:tcPr>
                <w:p w:rsidR="00493B91" w:rsidRPr="006B6D1E" w:rsidRDefault="00493B91" w:rsidP="009A70E7">
                  <w:pPr>
                    <w:spacing w:after="0" w:line="240" w:lineRule="auto"/>
                    <w:ind w:left="284"/>
                    <w:jc w:val="left"/>
                    <w:rPr>
                      <w:sz w:val="20"/>
                    </w:rPr>
                  </w:pPr>
                  <w:r w:rsidRPr="006B6D1E">
                    <w:rPr>
                      <w:sz w:val="20"/>
                    </w:rPr>
                    <w:t>Број паркинг места</w:t>
                  </w:r>
                </w:p>
              </w:tc>
              <w:tc>
                <w:tcPr>
                  <w:tcW w:w="3292" w:type="dxa"/>
                </w:tcPr>
                <w:p w:rsidR="00493B91" w:rsidRPr="006B6D1E" w:rsidRDefault="00564B42" w:rsidP="009A70E7">
                  <w:pPr>
                    <w:spacing w:after="0" w:line="240" w:lineRule="auto"/>
                    <w:ind w:left="284"/>
                    <w:jc w:val="left"/>
                    <w:rPr>
                      <w:sz w:val="20"/>
                    </w:rPr>
                  </w:pPr>
                  <w:r w:rsidRPr="006B6D1E">
                    <w:rPr>
                      <w:sz w:val="20"/>
                    </w:rPr>
                    <w:t>33</w:t>
                  </w:r>
                </w:p>
              </w:tc>
            </w:tr>
            <w:tr w:rsidR="00564B42" w:rsidRPr="006B6D1E" w:rsidTr="004C0CA6">
              <w:tc>
                <w:tcPr>
                  <w:tcW w:w="3291" w:type="dxa"/>
                </w:tcPr>
                <w:p w:rsidR="00564B42" w:rsidRPr="006B6D1E" w:rsidRDefault="00564B42" w:rsidP="009A70E7">
                  <w:pPr>
                    <w:spacing w:after="0" w:line="240" w:lineRule="auto"/>
                    <w:ind w:left="284"/>
                    <w:jc w:val="left"/>
                    <w:rPr>
                      <w:b/>
                      <w:sz w:val="20"/>
                    </w:rPr>
                  </w:pPr>
                  <w:r w:rsidRPr="006B6D1E">
                    <w:rPr>
                      <w:b/>
                      <w:sz w:val="20"/>
                    </w:rPr>
                    <w:t>Подцелина 1.1а</w:t>
                  </w:r>
                </w:p>
              </w:tc>
              <w:tc>
                <w:tcPr>
                  <w:tcW w:w="3292" w:type="dxa"/>
                </w:tcPr>
                <w:p w:rsidR="00564B42" w:rsidRPr="006B6D1E" w:rsidRDefault="009A70E7" w:rsidP="009A70E7">
                  <w:pPr>
                    <w:spacing w:after="0" w:line="240" w:lineRule="auto"/>
                    <w:ind w:left="284"/>
                    <w:jc w:val="left"/>
                    <w:rPr>
                      <w:b/>
                      <w:sz w:val="20"/>
                    </w:rPr>
                  </w:pPr>
                  <w:r w:rsidRPr="006B6D1E">
                    <w:rPr>
                      <w:b/>
                      <w:sz w:val="20"/>
                    </w:rPr>
                    <w:t>2,606.37м</w:t>
                  </w:r>
                  <w:r w:rsidRPr="006B6D1E">
                    <w:rPr>
                      <w:b/>
                      <w:sz w:val="20"/>
                      <w:vertAlign w:val="superscript"/>
                    </w:rPr>
                    <w:t>2</w:t>
                  </w:r>
                </w:p>
              </w:tc>
            </w:tr>
            <w:tr w:rsidR="00564B42" w:rsidRPr="006B6D1E" w:rsidTr="004C0CA6">
              <w:tc>
                <w:tcPr>
                  <w:tcW w:w="3291" w:type="dxa"/>
                </w:tcPr>
                <w:p w:rsidR="00564B42" w:rsidRPr="006B6D1E" w:rsidRDefault="00564B42" w:rsidP="009A70E7">
                  <w:pPr>
                    <w:spacing w:after="0" w:line="240" w:lineRule="auto"/>
                    <w:ind w:left="284"/>
                    <w:jc w:val="left"/>
                    <w:rPr>
                      <w:b/>
                      <w:sz w:val="20"/>
                    </w:rPr>
                  </w:pPr>
                  <w:r w:rsidRPr="006B6D1E">
                    <w:rPr>
                      <w:b/>
                      <w:sz w:val="20"/>
                    </w:rPr>
                    <w:t>Површина зеленила</w:t>
                  </w:r>
                </w:p>
              </w:tc>
              <w:tc>
                <w:tcPr>
                  <w:tcW w:w="3292" w:type="dxa"/>
                </w:tcPr>
                <w:p w:rsidR="00564B42" w:rsidRPr="006B6D1E" w:rsidRDefault="00564B42" w:rsidP="009A70E7">
                  <w:pPr>
                    <w:spacing w:after="0" w:line="240" w:lineRule="auto"/>
                    <w:ind w:left="284"/>
                    <w:jc w:val="left"/>
                    <w:rPr>
                      <w:b/>
                      <w:sz w:val="20"/>
                    </w:rPr>
                  </w:pPr>
                  <w:r w:rsidRPr="006B6D1E">
                    <w:rPr>
                      <w:b/>
                      <w:sz w:val="20"/>
                    </w:rPr>
                    <w:t>415.50м</w:t>
                  </w:r>
                  <w:r w:rsidRPr="006B6D1E">
                    <w:rPr>
                      <w:b/>
                      <w:sz w:val="20"/>
                      <w:vertAlign w:val="superscript"/>
                    </w:rPr>
                    <w:t>2</w:t>
                  </w:r>
                </w:p>
              </w:tc>
            </w:tr>
            <w:tr w:rsidR="00564B42" w:rsidRPr="006B6D1E" w:rsidTr="004C0CA6">
              <w:tc>
                <w:tcPr>
                  <w:tcW w:w="3291" w:type="dxa"/>
                </w:tcPr>
                <w:p w:rsidR="00564B42" w:rsidRPr="006B6D1E" w:rsidRDefault="00564B42" w:rsidP="009A70E7">
                  <w:pPr>
                    <w:spacing w:after="0" w:line="240" w:lineRule="auto"/>
                    <w:ind w:left="284"/>
                    <w:jc w:val="left"/>
                    <w:rPr>
                      <w:b/>
                      <w:sz w:val="20"/>
                    </w:rPr>
                  </w:pPr>
                  <w:r w:rsidRPr="006B6D1E">
                    <w:rPr>
                      <w:b/>
                      <w:sz w:val="20"/>
                    </w:rPr>
                    <w:t>Број паркинг места</w:t>
                  </w:r>
                </w:p>
              </w:tc>
              <w:tc>
                <w:tcPr>
                  <w:tcW w:w="3292" w:type="dxa"/>
                </w:tcPr>
                <w:p w:rsidR="00564B42" w:rsidRPr="006B6D1E" w:rsidRDefault="003B1A2D" w:rsidP="009A70E7">
                  <w:pPr>
                    <w:spacing w:after="0" w:line="240" w:lineRule="auto"/>
                    <w:ind w:left="284"/>
                    <w:jc w:val="left"/>
                    <w:rPr>
                      <w:b/>
                      <w:sz w:val="20"/>
                    </w:rPr>
                  </w:pPr>
                  <w:r w:rsidRPr="006B6D1E">
                    <w:rPr>
                      <w:b/>
                      <w:sz w:val="20"/>
                    </w:rPr>
                    <w:t>33</w:t>
                  </w:r>
                </w:p>
              </w:tc>
            </w:tr>
            <w:tr w:rsidR="00564B42" w:rsidRPr="006B6D1E" w:rsidTr="004C0CA6">
              <w:tc>
                <w:tcPr>
                  <w:tcW w:w="3291" w:type="dxa"/>
                </w:tcPr>
                <w:p w:rsidR="00564B42" w:rsidRPr="006B6D1E" w:rsidRDefault="00564B42" w:rsidP="009A70E7">
                  <w:pPr>
                    <w:spacing w:after="0" w:line="240" w:lineRule="auto"/>
                    <w:ind w:left="284"/>
                    <w:jc w:val="left"/>
                    <w:rPr>
                      <w:b/>
                      <w:sz w:val="20"/>
                    </w:rPr>
                  </w:pPr>
                  <w:r w:rsidRPr="006B6D1E">
                    <w:rPr>
                      <w:b/>
                      <w:sz w:val="20"/>
                    </w:rPr>
                    <w:t>Подцелина 1.2</w:t>
                  </w:r>
                </w:p>
              </w:tc>
              <w:tc>
                <w:tcPr>
                  <w:tcW w:w="3292" w:type="dxa"/>
                </w:tcPr>
                <w:p w:rsidR="00564B42" w:rsidRPr="006B6D1E" w:rsidRDefault="00564B42" w:rsidP="009A70E7">
                  <w:pPr>
                    <w:spacing w:after="0" w:line="240" w:lineRule="auto"/>
                    <w:ind w:left="284"/>
                    <w:jc w:val="left"/>
                    <w:rPr>
                      <w:b/>
                      <w:sz w:val="20"/>
                    </w:rPr>
                  </w:pPr>
                  <w:r w:rsidRPr="006B6D1E">
                    <w:rPr>
                      <w:b/>
                      <w:sz w:val="20"/>
                    </w:rPr>
                    <w:t>893.00м</w:t>
                  </w:r>
                  <w:r w:rsidRPr="006B6D1E">
                    <w:rPr>
                      <w:b/>
                      <w:sz w:val="20"/>
                      <w:vertAlign w:val="superscript"/>
                    </w:rPr>
                    <w:t>2</w:t>
                  </w:r>
                </w:p>
              </w:tc>
            </w:tr>
            <w:tr w:rsidR="00564B42" w:rsidRPr="006B6D1E" w:rsidTr="004C0CA6">
              <w:tc>
                <w:tcPr>
                  <w:tcW w:w="3291" w:type="dxa"/>
                </w:tcPr>
                <w:p w:rsidR="00564B42" w:rsidRPr="006B6D1E" w:rsidRDefault="00564B42" w:rsidP="009A70E7">
                  <w:pPr>
                    <w:spacing w:after="0" w:line="240" w:lineRule="auto"/>
                    <w:ind w:left="284"/>
                    <w:jc w:val="left"/>
                    <w:rPr>
                      <w:b/>
                      <w:sz w:val="20"/>
                    </w:rPr>
                  </w:pPr>
                  <w:r w:rsidRPr="006B6D1E">
                    <w:rPr>
                      <w:b/>
                      <w:sz w:val="20"/>
                    </w:rPr>
                    <w:lastRenderedPageBreak/>
                    <w:t>Површина зеленила</w:t>
                  </w:r>
                </w:p>
              </w:tc>
              <w:tc>
                <w:tcPr>
                  <w:tcW w:w="3292" w:type="dxa"/>
                </w:tcPr>
                <w:p w:rsidR="00564B42" w:rsidRPr="006B6D1E" w:rsidRDefault="00564B42" w:rsidP="009A70E7">
                  <w:pPr>
                    <w:spacing w:after="0" w:line="240" w:lineRule="auto"/>
                    <w:ind w:left="284"/>
                    <w:jc w:val="left"/>
                    <w:rPr>
                      <w:b/>
                      <w:sz w:val="20"/>
                    </w:rPr>
                  </w:pPr>
                  <w:r w:rsidRPr="006B6D1E">
                    <w:rPr>
                      <w:b/>
                      <w:sz w:val="20"/>
                    </w:rPr>
                    <w:t>0</w:t>
                  </w:r>
                </w:p>
              </w:tc>
            </w:tr>
            <w:tr w:rsidR="00564B42" w:rsidRPr="006B6D1E" w:rsidTr="004C0CA6">
              <w:tc>
                <w:tcPr>
                  <w:tcW w:w="3291" w:type="dxa"/>
                </w:tcPr>
                <w:p w:rsidR="00564B42" w:rsidRPr="006B6D1E" w:rsidRDefault="00564B42" w:rsidP="009A70E7">
                  <w:pPr>
                    <w:spacing w:after="0" w:line="240" w:lineRule="auto"/>
                    <w:ind w:left="284"/>
                    <w:jc w:val="left"/>
                    <w:rPr>
                      <w:b/>
                      <w:sz w:val="20"/>
                    </w:rPr>
                  </w:pPr>
                  <w:r w:rsidRPr="006B6D1E">
                    <w:rPr>
                      <w:b/>
                      <w:sz w:val="20"/>
                    </w:rPr>
                    <w:t>Број паркинг места</w:t>
                  </w:r>
                </w:p>
              </w:tc>
              <w:tc>
                <w:tcPr>
                  <w:tcW w:w="3292" w:type="dxa"/>
                </w:tcPr>
                <w:p w:rsidR="00564B42" w:rsidRPr="006B6D1E" w:rsidRDefault="00564B42" w:rsidP="003B1A2D">
                  <w:pPr>
                    <w:spacing w:after="0" w:line="240" w:lineRule="auto"/>
                    <w:ind w:left="284"/>
                    <w:jc w:val="left"/>
                    <w:rPr>
                      <w:b/>
                      <w:sz w:val="20"/>
                    </w:rPr>
                  </w:pPr>
                  <w:r w:rsidRPr="006B6D1E">
                    <w:rPr>
                      <w:b/>
                      <w:sz w:val="20"/>
                    </w:rPr>
                    <w:t>1</w:t>
                  </w:r>
                  <w:r w:rsidR="003B1A2D" w:rsidRPr="006B6D1E">
                    <w:rPr>
                      <w:b/>
                      <w:sz w:val="20"/>
                    </w:rPr>
                    <w:t>6</w:t>
                  </w:r>
                </w:p>
              </w:tc>
            </w:tr>
            <w:tr w:rsidR="00564B42" w:rsidRPr="006B6D1E" w:rsidTr="004C0CA6">
              <w:tc>
                <w:tcPr>
                  <w:tcW w:w="3291" w:type="dxa"/>
                </w:tcPr>
                <w:p w:rsidR="00564B42" w:rsidRPr="006B6D1E" w:rsidRDefault="00564B42" w:rsidP="009A70E7">
                  <w:pPr>
                    <w:spacing w:after="0" w:line="240" w:lineRule="auto"/>
                    <w:ind w:left="284"/>
                    <w:jc w:val="left"/>
                    <w:rPr>
                      <w:b/>
                      <w:sz w:val="20"/>
                    </w:rPr>
                  </w:pPr>
                  <w:r w:rsidRPr="006B6D1E">
                    <w:rPr>
                      <w:b/>
                      <w:sz w:val="20"/>
                    </w:rPr>
                    <w:t>Подцелина 1.3</w:t>
                  </w:r>
                </w:p>
              </w:tc>
              <w:tc>
                <w:tcPr>
                  <w:tcW w:w="3292" w:type="dxa"/>
                </w:tcPr>
                <w:p w:rsidR="00564B42" w:rsidRPr="006B6D1E" w:rsidRDefault="00564B42" w:rsidP="009A70E7">
                  <w:pPr>
                    <w:spacing w:after="0" w:line="240" w:lineRule="auto"/>
                    <w:ind w:left="284"/>
                    <w:jc w:val="left"/>
                    <w:rPr>
                      <w:b/>
                      <w:sz w:val="20"/>
                    </w:rPr>
                  </w:pPr>
                  <w:r w:rsidRPr="006B6D1E">
                    <w:rPr>
                      <w:b/>
                      <w:sz w:val="20"/>
                    </w:rPr>
                    <w:t>1,589.00м</w:t>
                  </w:r>
                  <w:r w:rsidRPr="006B6D1E">
                    <w:rPr>
                      <w:b/>
                      <w:sz w:val="20"/>
                      <w:vertAlign w:val="superscript"/>
                    </w:rPr>
                    <w:t>2</w:t>
                  </w:r>
                </w:p>
              </w:tc>
            </w:tr>
            <w:tr w:rsidR="00564B42" w:rsidRPr="006B6D1E" w:rsidTr="004C0CA6">
              <w:trPr>
                <w:trHeight w:val="78"/>
              </w:trPr>
              <w:tc>
                <w:tcPr>
                  <w:tcW w:w="3291" w:type="dxa"/>
                </w:tcPr>
                <w:p w:rsidR="00564B42" w:rsidRPr="006B6D1E" w:rsidRDefault="00564B42" w:rsidP="009A70E7">
                  <w:pPr>
                    <w:spacing w:after="0" w:line="240" w:lineRule="auto"/>
                    <w:ind w:left="284"/>
                    <w:jc w:val="left"/>
                    <w:rPr>
                      <w:b/>
                      <w:sz w:val="20"/>
                    </w:rPr>
                  </w:pPr>
                  <w:r w:rsidRPr="006B6D1E">
                    <w:rPr>
                      <w:b/>
                      <w:sz w:val="20"/>
                    </w:rPr>
                    <w:t>Површина зеленила</w:t>
                  </w:r>
                </w:p>
              </w:tc>
              <w:tc>
                <w:tcPr>
                  <w:tcW w:w="3292" w:type="dxa"/>
                </w:tcPr>
                <w:p w:rsidR="00564B42" w:rsidRPr="006B6D1E" w:rsidRDefault="003B1A2D" w:rsidP="003B1A2D">
                  <w:pPr>
                    <w:spacing w:after="0" w:line="240" w:lineRule="auto"/>
                    <w:ind w:left="284"/>
                    <w:jc w:val="left"/>
                    <w:rPr>
                      <w:b/>
                      <w:sz w:val="20"/>
                    </w:rPr>
                  </w:pPr>
                  <w:r w:rsidRPr="006B6D1E">
                    <w:rPr>
                      <w:b/>
                      <w:sz w:val="20"/>
                    </w:rPr>
                    <w:t>89</w:t>
                  </w:r>
                  <w:r w:rsidR="00564B42" w:rsidRPr="006B6D1E">
                    <w:rPr>
                      <w:b/>
                      <w:sz w:val="20"/>
                    </w:rPr>
                    <w:t>.</w:t>
                  </w:r>
                  <w:r w:rsidRPr="006B6D1E">
                    <w:rPr>
                      <w:b/>
                      <w:sz w:val="20"/>
                    </w:rPr>
                    <w:t>90</w:t>
                  </w:r>
                  <w:r w:rsidR="00564B42" w:rsidRPr="006B6D1E">
                    <w:rPr>
                      <w:b/>
                      <w:sz w:val="20"/>
                    </w:rPr>
                    <w:t>м</w:t>
                  </w:r>
                  <w:r w:rsidR="00564B42" w:rsidRPr="006B6D1E">
                    <w:rPr>
                      <w:b/>
                      <w:sz w:val="20"/>
                      <w:vertAlign w:val="superscript"/>
                    </w:rPr>
                    <w:t>2</w:t>
                  </w:r>
                </w:p>
              </w:tc>
            </w:tr>
            <w:tr w:rsidR="00564B42" w:rsidRPr="006B6D1E" w:rsidTr="004C0CA6">
              <w:trPr>
                <w:trHeight w:val="42"/>
              </w:trPr>
              <w:tc>
                <w:tcPr>
                  <w:tcW w:w="3291" w:type="dxa"/>
                  <w:tcBorders>
                    <w:bottom w:val="single" w:sz="4" w:space="0" w:color="auto"/>
                  </w:tcBorders>
                </w:tcPr>
                <w:p w:rsidR="00564B42" w:rsidRPr="006B6D1E" w:rsidRDefault="00564B42" w:rsidP="009A70E7">
                  <w:pPr>
                    <w:spacing w:after="0" w:line="240" w:lineRule="auto"/>
                    <w:ind w:left="284"/>
                    <w:jc w:val="left"/>
                    <w:rPr>
                      <w:b/>
                      <w:sz w:val="20"/>
                    </w:rPr>
                  </w:pPr>
                  <w:r w:rsidRPr="006B6D1E">
                    <w:rPr>
                      <w:b/>
                      <w:sz w:val="20"/>
                    </w:rPr>
                    <w:t>Број паркинг места</w:t>
                  </w:r>
                </w:p>
              </w:tc>
              <w:tc>
                <w:tcPr>
                  <w:tcW w:w="3292" w:type="dxa"/>
                  <w:tcBorders>
                    <w:bottom w:val="single" w:sz="4" w:space="0" w:color="auto"/>
                  </w:tcBorders>
                </w:tcPr>
                <w:p w:rsidR="00564B42" w:rsidRPr="006B6D1E" w:rsidRDefault="003B1A2D" w:rsidP="009A70E7">
                  <w:pPr>
                    <w:spacing w:after="0" w:line="240" w:lineRule="auto"/>
                    <w:ind w:left="284"/>
                    <w:jc w:val="left"/>
                    <w:rPr>
                      <w:b/>
                      <w:sz w:val="20"/>
                    </w:rPr>
                  </w:pPr>
                  <w:r w:rsidRPr="006B6D1E">
                    <w:rPr>
                      <w:b/>
                      <w:sz w:val="20"/>
                    </w:rPr>
                    <w:t>7</w:t>
                  </w:r>
                </w:p>
              </w:tc>
            </w:tr>
            <w:tr w:rsidR="00564B42" w:rsidRPr="006B6D1E" w:rsidTr="004C0CA6">
              <w:tc>
                <w:tcPr>
                  <w:tcW w:w="3291" w:type="dxa"/>
                  <w:tcBorders>
                    <w:top w:val="single" w:sz="4" w:space="0" w:color="auto"/>
                  </w:tcBorders>
                </w:tcPr>
                <w:p w:rsidR="00564B42" w:rsidRPr="006B6D1E" w:rsidRDefault="00564B42" w:rsidP="00564B42">
                  <w:pPr>
                    <w:spacing w:after="0" w:line="240" w:lineRule="auto"/>
                    <w:jc w:val="left"/>
                    <w:rPr>
                      <w:b/>
                      <w:bCs/>
                      <w:sz w:val="20"/>
                    </w:rPr>
                  </w:pPr>
                  <w:r w:rsidRPr="006B6D1E">
                    <w:rPr>
                      <w:b/>
                      <w:bCs/>
                      <w:sz w:val="20"/>
                    </w:rPr>
                    <w:t>Површина Целине 2</w:t>
                  </w:r>
                </w:p>
              </w:tc>
              <w:tc>
                <w:tcPr>
                  <w:tcW w:w="3292" w:type="dxa"/>
                  <w:tcBorders>
                    <w:top w:val="single" w:sz="4" w:space="0" w:color="auto"/>
                  </w:tcBorders>
                </w:tcPr>
                <w:p w:rsidR="00564B42" w:rsidRPr="006B6D1E" w:rsidRDefault="00564B42" w:rsidP="00564B42">
                  <w:pPr>
                    <w:spacing w:after="0" w:line="240" w:lineRule="auto"/>
                    <w:jc w:val="left"/>
                    <w:rPr>
                      <w:sz w:val="20"/>
                    </w:rPr>
                  </w:pPr>
                  <w:r w:rsidRPr="006B6D1E">
                    <w:rPr>
                      <w:sz w:val="20"/>
                    </w:rPr>
                    <w:t>1,112.00м</w:t>
                  </w:r>
                  <w:r w:rsidRPr="006B6D1E">
                    <w:rPr>
                      <w:sz w:val="20"/>
                      <w:vertAlign w:val="superscript"/>
                    </w:rPr>
                    <w:t>2</w:t>
                  </w:r>
                </w:p>
              </w:tc>
            </w:tr>
            <w:tr w:rsidR="00564B42" w:rsidRPr="006B6D1E" w:rsidTr="004C0CA6">
              <w:tc>
                <w:tcPr>
                  <w:tcW w:w="3291" w:type="dxa"/>
                </w:tcPr>
                <w:p w:rsidR="00564B42" w:rsidRPr="006B6D1E" w:rsidRDefault="00564B42" w:rsidP="00564B42">
                  <w:pPr>
                    <w:spacing w:after="0" w:line="240" w:lineRule="auto"/>
                    <w:jc w:val="left"/>
                    <w:rPr>
                      <w:sz w:val="20"/>
                    </w:rPr>
                  </w:pPr>
                  <w:r w:rsidRPr="006B6D1E">
                    <w:rPr>
                      <w:sz w:val="20"/>
                    </w:rPr>
                    <w:t>Површина зеленила</w:t>
                  </w:r>
                </w:p>
              </w:tc>
              <w:tc>
                <w:tcPr>
                  <w:tcW w:w="3292" w:type="dxa"/>
                </w:tcPr>
                <w:p w:rsidR="00564B42" w:rsidRPr="006B6D1E" w:rsidRDefault="00564B42" w:rsidP="009A70E7">
                  <w:pPr>
                    <w:spacing w:after="0" w:line="240" w:lineRule="auto"/>
                    <w:jc w:val="left"/>
                    <w:rPr>
                      <w:sz w:val="20"/>
                    </w:rPr>
                  </w:pPr>
                  <w:r w:rsidRPr="006B6D1E">
                    <w:rPr>
                      <w:sz w:val="20"/>
                    </w:rPr>
                    <w:t>50</w:t>
                  </w:r>
                  <w:r w:rsidR="009A70E7" w:rsidRPr="006B6D1E">
                    <w:rPr>
                      <w:sz w:val="20"/>
                    </w:rPr>
                    <w:t>8</w:t>
                  </w:r>
                  <w:r w:rsidRPr="006B6D1E">
                    <w:rPr>
                      <w:sz w:val="20"/>
                    </w:rPr>
                    <w:t>.</w:t>
                  </w:r>
                  <w:r w:rsidR="009A70E7" w:rsidRPr="006B6D1E">
                    <w:rPr>
                      <w:sz w:val="20"/>
                    </w:rPr>
                    <w:t>14</w:t>
                  </w:r>
                  <w:r w:rsidRPr="006B6D1E">
                    <w:rPr>
                      <w:sz w:val="20"/>
                    </w:rPr>
                    <w:t>м</w:t>
                  </w:r>
                  <w:r w:rsidRPr="006B6D1E">
                    <w:rPr>
                      <w:sz w:val="20"/>
                      <w:vertAlign w:val="superscript"/>
                    </w:rPr>
                    <w:t>2</w:t>
                  </w:r>
                </w:p>
              </w:tc>
            </w:tr>
            <w:tr w:rsidR="00564B42" w:rsidRPr="006B6D1E" w:rsidTr="004C0CA6">
              <w:tc>
                <w:tcPr>
                  <w:tcW w:w="3291" w:type="dxa"/>
                </w:tcPr>
                <w:p w:rsidR="00564B42" w:rsidRPr="006B6D1E" w:rsidRDefault="00564B42" w:rsidP="00564B42">
                  <w:pPr>
                    <w:spacing w:after="0" w:line="240" w:lineRule="auto"/>
                    <w:jc w:val="left"/>
                    <w:rPr>
                      <w:sz w:val="20"/>
                    </w:rPr>
                  </w:pPr>
                  <w:r w:rsidRPr="006B6D1E">
                    <w:rPr>
                      <w:sz w:val="20"/>
                    </w:rPr>
                    <w:t>Број паркинг места</w:t>
                  </w:r>
                </w:p>
              </w:tc>
              <w:tc>
                <w:tcPr>
                  <w:tcW w:w="3292" w:type="dxa"/>
                </w:tcPr>
                <w:p w:rsidR="00564B42" w:rsidRPr="006B6D1E" w:rsidRDefault="009A70E7" w:rsidP="00564B42">
                  <w:pPr>
                    <w:spacing w:after="0" w:line="240" w:lineRule="auto"/>
                    <w:jc w:val="left"/>
                    <w:rPr>
                      <w:sz w:val="20"/>
                    </w:rPr>
                  </w:pPr>
                  <w:r w:rsidRPr="006B6D1E">
                    <w:rPr>
                      <w:sz w:val="20"/>
                    </w:rPr>
                    <w:t>19</w:t>
                  </w:r>
                </w:p>
              </w:tc>
            </w:tr>
          </w:tbl>
          <w:p w:rsidR="00FD6D40" w:rsidRPr="006B6D1E" w:rsidRDefault="00FD6D40" w:rsidP="0035682D">
            <w:pPr>
              <w:spacing w:after="0" w:line="240" w:lineRule="auto"/>
              <w:jc w:val="left"/>
              <w:rPr>
                <w:szCs w:val="22"/>
                <w:highlight w:val="yellow"/>
              </w:rPr>
            </w:pPr>
          </w:p>
        </w:tc>
      </w:tr>
      <w:tr w:rsidR="00493950" w:rsidRPr="006B6D1E" w:rsidTr="0035682D">
        <w:trPr>
          <w:jc w:val="center"/>
        </w:trPr>
        <w:tc>
          <w:tcPr>
            <w:tcW w:w="2830" w:type="dxa"/>
          </w:tcPr>
          <w:p w:rsidR="00493950" w:rsidRPr="006B6D1E" w:rsidRDefault="00493950" w:rsidP="0035682D">
            <w:pPr>
              <w:spacing w:after="0" w:line="240" w:lineRule="auto"/>
              <w:jc w:val="left"/>
              <w:rPr>
                <w:szCs w:val="22"/>
              </w:rPr>
            </w:pPr>
            <w:r w:rsidRPr="006B6D1E">
              <w:rPr>
                <w:szCs w:val="22"/>
              </w:rPr>
              <w:lastRenderedPageBreak/>
              <w:t>Пројектоване мере повећања безбедности саобраћаја</w:t>
            </w:r>
          </w:p>
        </w:tc>
        <w:tc>
          <w:tcPr>
            <w:tcW w:w="6809" w:type="dxa"/>
            <w:shd w:val="clear" w:color="auto" w:fill="auto"/>
          </w:tcPr>
          <w:p w:rsidR="00ED6C0F" w:rsidRPr="006B6D1E" w:rsidRDefault="00ED6C0F" w:rsidP="00CE2858">
            <w:pPr>
              <w:pStyle w:val="ListParagraph"/>
              <w:numPr>
                <w:ilvl w:val="0"/>
                <w:numId w:val="28"/>
              </w:numPr>
              <w:spacing w:after="0" w:line="240" w:lineRule="auto"/>
              <w:ind w:left="284" w:hanging="284"/>
              <w:contextualSpacing w:val="0"/>
              <w:jc w:val="left"/>
              <w:rPr>
                <w:sz w:val="20"/>
                <w:szCs w:val="20"/>
              </w:rPr>
            </w:pPr>
            <w:r w:rsidRPr="006B6D1E">
              <w:rPr>
                <w:sz w:val="22"/>
                <w:szCs w:val="22"/>
              </w:rPr>
              <w:t>Тактилна поља безбедности постављена су испред свих опасних зона, укључујући и пешачке прелазе, као и на местима промене правца. Дуж главних комуникационих праваца постављају се тактилне стазе водиље.</w:t>
            </w:r>
          </w:p>
          <w:p w:rsidR="00C8212B" w:rsidRPr="006B6D1E" w:rsidRDefault="00C8212B" w:rsidP="00CE2858">
            <w:pPr>
              <w:pStyle w:val="ListParagraph"/>
              <w:numPr>
                <w:ilvl w:val="0"/>
                <w:numId w:val="28"/>
              </w:numPr>
              <w:spacing w:after="0" w:line="240" w:lineRule="auto"/>
              <w:ind w:left="284" w:hanging="284"/>
              <w:contextualSpacing w:val="0"/>
              <w:jc w:val="left"/>
              <w:rPr>
                <w:sz w:val="22"/>
                <w:szCs w:val="22"/>
              </w:rPr>
            </w:pPr>
            <w:r w:rsidRPr="006B6D1E">
              <w:rPr>
                <w:sz w:val="22"/>
                <w:szCs w:val="22"/>
              </w:rPr>
              <w:t>У делу приступа пешачким прелазима су планирани оборени ивичњаци, како би се омогућио приступ особама са инвалидитетом. Оборени ивичњаци су планирани и у зонама колских прилаза и код паркинг места.</w:t>
            </w:r>
          </w:p>
          <w:p w:rsidR="00493950" w:rsidRPr="006B6D1E" w:rsidRDefault="00ED6C0F" w:rsidP="00CE2858">
            <w:pPr>
              <w:pStyle w:val="ListParagraph"/>
              <w:numPr>
                <w:ilvl w:val="0"/>
                <w:numId w:val="28"/>
              </w:numPr>
              <w:spacing w:after="0" w:line="240" w:lineRule="auto"/>
              <w:ind w:left="284" w:hanging="284"/>
              <w:contextualSpacing w:val="0"/>
              <w:jc w:val="left"/>
              <w:rPr>
                <w:sz w:val="22"/>
                <w:szCs w:val="22"/>
              </w:rPr>
            </w:pPr>
            <w:r w:rsidRPr="006B6D1E">
              <w:rPr>
                <w:sz w:val="22"/>
                <w:szCs w:val="22"/>
              </w:rPr>
              <w:t>У зони школе предвиђена је заштитна ограда за пешаке.</w:t>
            </w:r>
          </w:p>
        </w:tc>
      </w:tr>
    </w:tbl>
    <w:p w:rsidR="0049647E" w:rsidRPr="006B6D1E" w:rsidRDefault="0049647E" w:rsidP="006068CA">
      <w:pPr>
        <w:ind w:left="1134" w:hanging="1134"/>
        <w:rPr>
          <w:szCs w:val="22"/>
          <w:highlight w:val="yellow"/>
        </w:rPr>
      </w:pPr>
    </w:p>
    <w:p w:rsidR="00902BA9" w:rsidRPr="006B6D1E" w:rsidRDefault="00902BA9" w:rsidP="00902BA9">
      <w:pPr>
        <w:jc w:val="left"/>
        <w:rPr>
          <w:szCs w:val="22"/>
          <w:u w:val="single"/>
        </w:rPr>
      </w:pPr>
      <w:r w:rsidRPr="006B6D1E">
        <w:rPr>
          <w:szCs w:val="22"/>
          <w:u w:val="single"/>
        </w:rPr>
        <w:t>Утицај на животну средину и друштвено окружење</w:t>
      </w:r>
    </w:p>
    <w:p w:rsidR="00902BA9" w:rsidRPr="006B6D1E" w:rsidRDefault="00902BA9" w:rsidP="00902BA9">
      <w:pPr>
        <w:jc w:val="left"/>
        <w:rPr>
          <w:szCs w:val="22"/>
        </w:rPr>
      </w:pPr>
    </w:p>
    <w:p w:rsidR="00902BA9" w:rsidRPr="006B6D1E" w:rsidRDefault="00902BA9" w:rsidP="00902BA9">
      <w:pPr>
        <w:pStyle w:val="ListParagraph"/>
        <w:numPr>
          <w:ilvl w:val="0"/>
          <w:numId w:val="27"/>
        </w:numPr>
        <w:ind w:left="567" w:hanging="567"/>
        <w:rPr>
          <w:sz w:val="22"/>
          <w:szCs w:val="22"/>
        </w:rPr>
      </w:pPr>
      <w:r w:rsidRPr="006B6D1E">
        <w:rPr>
          <w:sz w:val="22"/>
          <w:szCs w:val="22"/>
        </w:rPr>
        <w:t xml:space="preserve">Са аспекта утицаја пројекта на животну средину и друштвено окружење на основу еколошког и друштвеног скрининга утврђено је да је пројекат има умерен ризик и да је </w:t>
      </w:r>
      <w:r w:rsidRPr="006B6D1E">
        <w:rPr>
          <w:b/>
          <w:sz w:val="22"/>
          <w:szCs w:val="22"/>
          <w:u w:val="single"/>
        </w:rPr>
        <w:t>подобан</w:t>
      </w:r>
      <w:r w:rsidRPr="006B6D1E">
        <w:rPr>
          <w:sz w:val="22"/>
          <w:szCs w:val="22"/>
        </w:rPr>
        <w:t xml:space="preserve"> за финансирање из средстава LIID пројекта.</w:t>
      </w:r>
    </w:p>
    <w:p w:rsidR="00902BA9" w:rsidRPr="006B6D1E" w:rsidRDefault="00902BA9" w:rsidP="00902BA9">
      <w:pPr>
        <w:pStyle w:val="ListParagraph"/>
        <w:numPr>
          <w:ilvl w:val="0"/>
          <w:numId w:val="27"/>
        </w:numPr>
        <w:ind w:left="567" w:hanging="567"/>
      </w:pPr>
      <w:r w:rsidRPr="006B6D1E">
        <w:rPr>
          <w:sz w:val="22"/>
          <w:szCs w:val="22"/>
        </w:rPr>
        <w:t xml:space="preserve">Израђен је План укључивања заинтересованих страна (СЕП) и учињен је доступним заинтересованој јавности заједно са Жалбеним механизмом и осталим информацијама од значаја за овај аспект пројекта </w:t>
      </w:r>
      <w:hyperlink r:id="rId8" w:history="1">
        <w:r w:rsidRPr="006B6D1E">
          <w:rPr>
            <w:rStyle w:val="Hyperlink"/>
            <w:sz w:val="22"/>
            <w:szCs w:val="22"/>
          </w:rPr>
          <w:t>https://topola.rs/liid-projekat/</w:t>
        </w:r>
      </w:hyperlink>
    </w:p>
    <w:p w:rsidR="00902BA9" w:rsidRPr="002E413A" w:rsidRDefault="00902BA9" w:rsidP="00902BA9">
      <w:pPr>
        <w:pStyle w:val="ListParagraph"/>
        <w:numPr>
          <w:ilvl w:val="0"/>
          <w:numId w:val="27"/>
        </w:numPr>
        <w:ind w:left="567" w:hanging="567"/>
        <w:rPr>
          <w:color w:val="2E74B5" w:themeColor="accent5" w:themeShade="BF"/>
          <w:sz w:val="22"/>
          <w:szCs w:val="22"/>
        </w:rPr>
      </w:pPr>
      <w:r w:rsidRPr="006B6D1E">
        <w:rPr>
          <w:sz w:val="22"/>
          <w:szCs w:val="22"/>
        </w:rPr>
        <w:t xml:space="preserve">Утврђена је потреба израде Контролне листе Плана управљања утицајима пројекта на еколошко и друштвено </w:t>
      </w:r>
      <w:proofErr w:type="spellStart"/>
      <w:r w:rsidRPr="006B6D1E">
        <w:rPr>
          <w:sz w:val="22"/>
          <w:szCs w:val="22"/>
        </w:rPr>
        <w:t>окружење</w:t>
      </w:r>
      <w:proofErr w:type="spellEnd"/>
      <w:r w:rsidRPr="006B6D1E">
        <w:rPr>
          <w:sz w:val="22"/>
          <w:szCs w:val="22"/>
        </w:rPr>
        <w:t xml:space="preserve"> (ЕСМП </w:t>
      </w:r>
      <w:proofErr w:type="spellStart"/>
      <w:r w:rsidRPr="006B6D1E">
        <w:rPr>
          <w:sz w:val="22"/>
          <w:szCs w:val="22"/>
        </w:rPr>
        <w:t>Контролна</w:t>
      </w:r>
      <w:proofErr w:type="spellEnd"/>
      <w:r w:rsidRPr="006B6D1E">
        <w:rPr>
          <w:sz w:val="22"/>
          <w:szCs w:val="22"/>
        </w:rPr>
        <w:t xml:space="preserve"> </w:t>
      </w:r>
      <w:proofErr w:type="spellStart"/>
      <w:r w:rsidRPr="006B6D1E">
        <w:rPr>
          <w:sz w:val="22"/>
          <w:szCs w:val="22"/>
        </w:rPr>
        <w:t>листа</w:t>
      </w:r>
      <w:proofErr w:type="spellEnd"/>
      <w:r w:rsidRPr="006B6D1E">
        <w:rPr>
          <w:sz w:val="22"/>
          <w:szCs w:val="22"/>
        </w:rPr>
        <w:t>)</w:t>
      </w:r>
      <w:r w:rsidR="002E413A" w:rsidRPr="002E413A">
        <w:t xml:space="preserve"> </w:t>
      </w:r>
      <w:r w:rsidR="002E413A">
        <w:t xml:space="preserve"> </w:t>
      </w:r>
      <w:r w:rsidR="002E413A" w:rsidRPr="002E413A">
        <w:rPr>
          <w:color w:val="2E74B5" w:themeColor="accent5" w:themeShade="BF"/>
          <w:sz w:val="22"/>
          <w:szCs w:val="22"/>
        </w:rPr>
        <w:t>https://topola.rs/liid-projekat/</w:t>
      </w:r>
    </w:p>
    <w:p w:rsidR="00902BA9" w:rsidRPr="002E413A" w:rsidRDefault="00902BA9" w:rsidP="00902BA9">
      <w:pPr>
        <w:pStyle w:val="ListParagraph"/>
        <w:numPr>
          <w:ilvl w:val="0"/>
          <w:numId w:val="27"/>
        </w:numPr>
        <w:ind w:left="567" w:hanging="567"/>
        <w:rPr>
          <w:color w:val="2E74B5" w:themeColor="accent5" w:themeShade="BF"/>
          <w:sz w:val="22"/>
          <w:szCs w:val="22"/>
        </w:rPr>
      </w:pPr>
      <w:r w:rsidRPr="006B6D1E">
        <w:rPr>
          <w:sz w:val="22"/>
          <w:szCs w:val="22"/>
        </w:rPr>
        <w:t xml:space="preserve">Израђена је Контролна листа Плана управљања утицајима пројекта на еколошко и друштвено окружење (ЕСМП Контролна листа) за комплетан пројекат дефинисан уговором о гранту ради утврђивања потенцијалних штетних утицаја пројекта на животну средину и друштвено окружење, који се могу превазићи применом предложених мера за ублажавање штетних утицаја. ЕСМП Контролна листа мора бити одобрена од Светске банке пре покретања јавне набавке за радове. Када буде одобрена, ЕСМП Контролна листа ће такође </w:t>
      </w:r>
      <w:proofErr w:type="spellStart"/>
      <w:r w:rsidRPr="006B6D1E">
        <w:rPr>
          <w:sz w:val="22"/>
          <w:szCs w:val="22"/>
        </w:rPr>
        <w:t>бити</w:t>
      </w:r>
      <w:proofErr w:type="spellEnd"/>
      <w:r w:rsidRPr="006B6D1E">
        <w:rPr>
          <w:sz w:val="22"/>
          <w:szCs w:val="22"/>
        </w:rPr>
        <w:t xml:space="preserve"> </w:t>
      </w:r>
      <w:proofErr w:type="spellStart"/>
      <w:r w:rsidRPr="006B6D1E">
        <w:rPr>
          <w:sz w:val="22"/>
          <w:szCs w:val="22"/>
        </w:rPr>
        <w:t>доступна</w:t>
      </w:r>
      <w:proofErr w:type="spellEnd"/>
      <w:r w:rsidRPr="006B6D1E">
        <w:rPr>
          <w:sz w:val="22"/>
          <w:szCs w:val="22"/>
        </w:rPr>
        <w:t xml:space="preserve"> </w:t>
      </w:r>
      <w:proofErr w:type="spellStart"/>
      <w:r w:rsidRPr="006B6D1E">
        <w:rPr>
          <w:sz w:val="22"/>
          <w:szCs w:val="22"/>
        </w:rPr>
        <w:t>заинтересованој</w:t>
      </w:r>
      <w:proofErr w:type="spellEnd"/>
      <w:r w:rsidRPr="006B6D1E">
        <w:rPr>
          <w:sz w:val="22"/>
          <w:szCs w:val="22"/>
        </w:rPr>
        <w:t xml:space="preserve"> </w:t>
      </w:r>
      <w:proofErr w:type="spellStart"/>
      <w:r w:rsidRPr="006B6D1E">
        <w:rPr>
          <w:sz w:val="22"/>
          <w:szCs w:val="22"/>
        </w:rPr>
        <w:t>јавности</w:t>
      </w:r>
      <w:proofErr w:type="spellEnd"/>
      <w:r w:rsidR="002E413A">
        <w:rPr>
          <w:sz w:val="22"/>
          <w:szCs w:val="22"/>
        </w:rPr>
        <w:t xml:space="preserve"> </w:t>
      </w:r>
      <w:r w:rsidR="002E413A" w:rsidRPr="002E413A">
        <w:t xml:space="preserve"> </w:t>
      </w:r>
      <w:r w:rsidR="002E413A">
        <w:t xml:space="preserve"> </w:t>
      </w:r>
      <w:r w:rsidR="002E413A" w:rsidRPr="002E413A">
        <w:rPr>
          <w:color w:val="2E74B5" w:themeColor="accent5" w:themeShade="BF"/>
          <w:sz w:val="22"/>
          <w:szCs w:val="22"/>
        </w:rPr>
        <w:t>https://topola.rs/liid-projekat/</w:t>
      </w:r>
    </w:p>
    <w:p w:rsidR="00902BA9" w:rsidRPr="006B6D1E" w:rsidRDefault="00902BA9" w:rsidP="00902BA9">
      <w:pPr>
        <w:ind w:left="567"/>
        <w:rPr>
          <w:szCs w:val="22"/>
        </w:rPr>
      </w:pPr>
      <w:r w:rsidRPr="006B6D1E">
        <w:rPr>
          <w:szCs w:val="22"/>
        </w:rPr>
        <w:t>Контролна листа омогућава усаглашеност пројекта с релевантним домаћим законодавством и захтевима Светске банке повезаним с процедурама процене утицаја на животну средину, физичка културна добра, здравље и безбедност, а у складу са Оквирним документом за управљање животном средином и социјалним окружењем, који је завршен и изнет на јавне консултације у Београду дана 25. новембра 2021. године, у складу са захтевима Светске банке за животну и друштвену средину 10 (ЕСС10) – Укључивање заинтересованих страна и обелодањивање информација.</w:t>
      </w:r>
    </w:p>
    <w:p w:rsidR="008E6E10" w:rsidRPr="006B6D1E" w:rsidRDefault="008E6E10" w:rsidP="00CE2858"/>
    <w:p w:rsidR="0049647E" w:rsidRPr="006B6D1E" w:rsidRDefault="002E4172" w:rsidP="007A09E8">
      <w:pPr>
        <w:keepNext/>
        <w:ind w:left="1134" w:hanging="1134"/>
        <w:rPr>
          <w:szCs w:val="22"/>
          <w:u w:val="single"/>
        </w:rPr>
      </w:pPr>
      <w:r w:rsidRPr="006B6D1E">
        <w:rPr>
          <w:szCs w:val="22"/>
          <w:u w:val="single"/>
        </w:rPr>
        <w:t>Усаглашеност са циљевима LIID Пројекта</w:t>
      </w:r>
    </w:p>
    <w:p w:rsidR="002E4172" w:rsidRPr="006B6D1E" w:rsidRDefault="002E4172" w:rsidP="007A09E8">
      <w:pPr>
        <w:keepNext/>
        <w:ind w:left="1134" w:hanging="1134"/>
        <w:rPr>
          <w:szCs w:val="22"/>
          <w:highlight w:val="yellow"/>
        </w:rPr>
      </w:pPr>
    </w:p>
    <w:p w:rsidR="002E4172" w:rsidRPr="006B6D1E" w:rsidRDefault="002E4172" w:rsidP="003846E8">
      <w:pPr>
        <w:keepNext/>
        <w:spacing w:after="60"/>
        <w:rPr>
          <w:highlight w:val="yellow"/>
        </w:rPr>
      </w:pPr>
      <w:r w:rsidRPr="006B6D1E">
        <w:t xml:space="preserve">Развојни индикатор пројекта (PDO) 2.1: </w:t>
      </w:r>
      <w:r w:rsidR="00EC4BBC" w:rsidRPr="006B6D1E">
        <w:rPr>
          <w:b/>
          <w:sz w:val="24"/>
          <w:szCs w:val="24"/>
        </w:rPr>
        <w:t>6</w:t>
      </w:r>
    </w:p>
    <w:p w:rsidR="002E4172" w:rsidRPr="006B6D1E" w:rsidRDefault="002E4172" w:rsidP="002E4172">
      <w:pPr>
        <w:rPr>
          <w:sz w:val="20"/>
        </w:rPr>
      </w:pPr>
      <w:r w:rsidRPr="006B6D1E">
        <w:rPr>
          <w:sz w:val="20"/>
        </w:rPr>
        <w:t>[Приступ економским могућностима и јавним сервисима – комерцијални и јавни сервиси повезани унапређеном, безбедном и отпорном транспортном мрежом]</w:t>
      </w:r>
    </w:p>
    <w:p w:rsidR="00A55B9B" w:rsidRPr="006B6D1E" w:rsidRDefault="00A55B9B" w:rsidP="00CE2858">
      <w:pPr>
        <w:pStyle w:val="ListParagraph"/>
        <w:numPr>
          <w:ilvl w:val="0"/>
          <w:numId w:val="24"/>
        </w:numPr>
        <w:ind w:left="567" w:hanging="567"/>
        <w:contextualSpacing w:val="0"/>
        <w:jc w:val="left"/>
        <w:rPr>
          <w:rFonts w:eastAsia="Times New Roman" w:cs="Times New Roman"/>
          <w:color w:val="auto"/>
          <w:sz w:val="22"/>
          <w:szCs w:val="20"/>
        </w:rPr>
      </w:pPr>
      <w:r w:rsidRPr="006B6D1E">
        <w:rPr>
          <w:rFonts w:eastAsia="Times New Roman" w:cs="Times New Roman"/>
          <w:color w:val="auto"/>
          <w:sz w:val="22"/>
          <w:szCs w:val="20"/>
        </w:rPr>
        <w:t>Основна школа „Карађорђе“;</w:t>
      </w:r>
    </w:p>
    <w:p w:rsidR="00A55B9B" w:rsidRPr="006B6D1E" w:rsidRDefault="00A55B9B" w:rsidP="00CE2858">
      <w:pPr>
        <w:pStyle w:val="ListParagraph"/>
        <w:numPr>
          <w:ilvl w:val="0"/>
          <w:numId w:val="24"/>
        </w:numPr>
        <w:ind w:left="567" w:hanging="567"/>
        <w:contextualSpacing w:val="0"/>
        <w:jc w:val="left"/>
        <w:rPr>
          <w:rFonts w:eastAsia="Times New Roman" w:cs="Times New Roman"/>
          <w:color w:val="auto"/>
          <w:sz w:val="22"/>
          <w:szCs w:val="20"/>
        </w:rPr>
      </w:pPr>
      <w:r w:rsidRPr="006B6D1E">
        <w:rPr>
          <w:rFonts w:eastAsia="Times New Roman" w:cs="Times New Roman"/>
          <w:color w:val="auto"/>
          <w:sz w:val="22"/>
          <w:szCs w:val="20"/>
        </w:rPr>
        <w:t>Пошта 34310 Топола;</w:t>
      </w:r>
    </w:p>
    <w:p w:rsidR="00A55B9B" w:rsidRPr="006B6D1E" w:rsidRDefault="00A55B9B" w:rsidP="00CE2858">
      <w:pPr>
        <w:pStyle w:val="ListParagraph"/>
        <w:numPr>
          <w:ilvl w:val="0"/>
          <w:numId w:val="24"/>
        </w:numPr>
        <w:ind w:left="567" w:hanging="567"/>
        <w:contextualSpacing w:val="0"/>
        <w:jc w:val="left"/>
        <w:rPr>
          <w:rFonts w:eastAsia="Times New Roman" w:cs="Times New Roman"/>
          <w:color w:val="auto"/>
          <w:sz w:val="22"/>
          <w:szCs w:val="20"/>
        </w:rPr>
      </w:pPr>
      <w:r w:rsidRPr="006B6D1E">
        <w:rPr>
          <w:rFonts w:eastAsia="Times New Roman" w:cs="Times New Roman"/>
          <w:color w:val="auto"/>
          <w:sz w:val="22"/>
          <w:szCs w:val="20"/>
        </w:rPr>
        <w:t>Зграда Општинске управе Топола;</w:t>
      </w:r>
    </w:p>
    <w:p w:rsidR="00A55B9B" w:rsidRPr="006B6D1E" w:rsidRDefault="00A55B9B" w:rsidP="00CE2858">
      <w:pPr>
        <w:pStyle w:val="ListParagraph"/>
        <w:numPr>
          <w:ilvl w:val="0"/>
          <w:numId w:val="24"/>
        </w:numPr>
        <w:ind w:left="567" w:hanging="567"/>
        <w:contextualSpacing w:val="0"/>
        <w:jc w:val="left"/>
        <w:rPr>
          <w:rFonts w:eastAsia="Times New Roman" w:cs="Times New Roman"/>
          <w:color w:val="auto"/>
          <w:sz w:val="22"/>
          <w:szCs w:val="20"/>
        </w:rPr>
      </w:pPr>
      <w:r w:rsidRPr="006B6D1E">
        <w:rPr>
          <w:rFonts w:eastAsia="Times New Roman" w:cs="Times New Roman"/>
          <w:color w:val="auto"/>
          <w:sz w:val="22"/>
          <w:szCs w:val="20"/>
        </w:rPr>
        <w:t>Полицијска станица Топола;</w:t>
      </w:r>
    </w:p>
    <w:p w:rsidR="00A55B9B" w:rsidRPr="006B6D1E" w:rsidRDefault="00A55B9B" w:rsidP="00CE2858">
      <w:pPr>
        <w:pStyle w:val="ListParagraph"/>
        <w:numPr>
          <w:ilvl w:val="0"/>
          <w:numId w:val="24"/>
        </w:numPr>
        <w:ind w:left="567" w:hanging="567"/>
        <w:contextualSpacing w:val="0"/>
        <w:jc w:val="left"/>
        <w:rPr>
          <w:rFonts w:eastAsia="Times New Roman" w:cs="Times New Roman"/>
          <w:color w:val="auto"/>
          <w:sz w:val="22"/>
          <w:szCs w:val="20"/>
        </w:rPr>
      </w:pPr>
      <w:r w:rsidRPr="006B6D1E">
        <w:rPr>
          <w:rFonts w:eastAsia="Times New Roman" w:cs="Times New Roman"/>
          <w:color w:val="auto"/>
          <w:sz w:val="22"/>
          <w:szCs w:val="20"/>
        </w:rPr>
        <w:t>Прекршајни суд Топола</w:t>
      </w:r>
      <w:r w:rsidR="00EA33E5" w:rsidRPr="006B6D1E">
        <w:rPr>
          <w:rFonts w:eastAsia="Times New Roman" w:cs="Times New Roman"/>
          <w:color w:val="auto"/>
          <w:sz w:val="22"/>
          <w:szCs w:val="20"/>
        </w:rPr>
        <w:t>;</w:t>
      </w:r>
    </w:p>
    <w:p w:rsidR="00EA33E5" w:rsidRPr="006B6D1E" w:rsidRDefault="00EA33E5" w:rsidP="00CE2858">
      <w:pPr>
        <w:pStyle w:val="ListParagraph"/>
        <w:numPr>
          <w:ilvl w:val="0"/>
          <w:numId w:val="24"/>
        </w:numPr>
        <w:ind w:left="567" w:hanging="567"/>
        <w:contextualSpacing w:val="0"/>
        <w:jc w:val="left"/>
        <w:rPr>
          <w:sz w:val="22"/>
          <w:szCs w:val="22"/>
        </w:rPr>
      </w:pPr>
      <w:r w:rsidRPr="006B6D1E">
        <w:rPr>
          <w:sz w:val="22"/>
          <w:szCs w:val="22"/>
        </w:rPr>
        <w:t>Јавно предузеће - Дирекција за изградњу општине Топола</w:t>
      </w:r>
      <w:r w:rsidR="00EC4BBC" w:rsidRPr="006B6D1E">
        <w:rPr>
          <w:sz w:val="22"/>
          <w:szCs w:val="22"/>
        </w:rPr>
        <w:t>.</w:t>
      </w:r>
    </w:p>
    <w:p w:rsidR="00EA33E5" w:rsidRPr="006B6D1E" w:rsidRDefault="00EA33E5" w:rsidP="00CE2858"/>
    <w:p w:rsidR="00DD44BA" w:rsidRPr="006B6D1E" w:rsidRDefault="00DD44BA" w:rsidP="00CE2858"/>
    <w:p w:rsidR="00DD44BA" w:rsidRPr="006B6D1E" w:rsidRDefault="00DD44BA" w:rsidP="00CE2858"/>
    <w:p w:rsidR="00105FFE" w:rsidRPr="006B6D1E" w:rsidRDefault="00105FFE" w:rsidP="007C706C">
      <w:pPr>
        <w:keepNext/>
        <w:ind w:left="1134" w:hanging="1134"/>
        <w:rPr>
          <w:szCs w:val="22"/>
          <w:u w:val="single"/>
        </w:rPr>
      </w:pPr>
      <w:r w:rsidRPr="006B6D1E">
        <w:rPr>
          <w:szCs w:val="22"/>
          <w:u w:val="single"/>
        </w:rPr>
        <w:t>Подобност пројекта и усаглашеност са захтевима LIID Пројекта</w:t>
      </w:r>
    </w:p>
    <w:p w:rsidR="0049647E" w:rsidRPr="006B6D1E" w:rsidRDefault="0049647E" w:rsidP="007C706C">
      <w:pPr>
        <w:keepNext/>
        <w:ind w:left="1134" w:hanging="1134"/>
        <w:rPr>
          <w:szCs w:val="22"/>
          <w:highlight w:val="yellow"/>
        </w:rPr>
      </w:pPr>
    </w:p>
    <w:tbl>
      <w:tblPr>
        <w:tblStyle w:val="TableGrid"/>
        <w:tblW w:w="7938" w:type="dxa"/>
        <w:tblCellMar>
          <w:top w:w="57" w:type="dxa"/>
          <w:bottom w:w="57" w:type="dxa"/>
        </w:tblCellMar>
        <w:tblLook w:val="04A0"/>
      </w:tblPr>
      <w:tblGrid>
        <w:gridCol w:w="1689"/>
        <w:gridCol w:w="881"/>
        <w:gridCol w:w="5368"/>
      </w:tblGrid>
      <w:tr w:rsidR="006165F5" w:rsidRPr="006B6D1E" w:rsidTr="009C452E">
        <w:tc>
          <w:tcPr>
            <w:tcW w:w="1980" w:type="dxa"/>
          </w:tcPr>
          <w:p w:rsidR="006165F5" w:rsidRPr="006B6D1E" w:rsidRDefault="006165F5" w:rsidP="006165F5">
            <w:pPr>
              <w:spacing w:after="0" w:line="240" w:lineRule="auto"/>
              <w:jc w:val="left"/>
              <w:rPr>
                <w:szCs w:val="22"/>
              </w:rPr>
            </w:pPr>
            <w:r w:rsidRPr="006B6D1E">
              <w:rPr>
                <w:szCs w:val="22"/>
              </w:rPr>
              <w:t>Сектор</w:t>
            </w:r>
          </w:p>
        </w:tc>
        <w:tc>
          <w:tcPr>
            <w:tcW w:w="992" w:type="dxa"/>
          </w:tcPr>
          <w:p w:rsidR="006165F5" w:rsidRPr="006B6D1E" w:rsidRDefault="00640AE2" w:rsidP="00DF24D9">
            <w:pPr>
              <w:spacing w:after="0" w:line="240" w:lineRule="auto"/>
              <w:jc w:val="center"/>
              <w:rPr>
                <w:szCs w:val="22"/>
              </w:rPr>
            </w:pPr>
            <w:r w:rsidRPr="006B6D1E">
              <w:rPr>
                <w:szCs w:val="22"/>
              </w:rPr>
              <w:t>M</w:t>
            </w:r>
          </w:p>
        </w:tc>
        <w:tc>
          <w:tcPr>
            <w:tcW w:w="6667" w:type="dxa"/>
          </w:tcPr>
          <w:p w:rsidR="006165F5" w:rsidRPr="006B6D1E" w:rsidRDefault="00640AE2" w:rsidP="006165F5">
            <w:pPr>
              <w:spacing w:after="0" w:line="240" w:lineRule="auto"/>
              <w:jc w:val="left"/>
              <w:rPr>
                <w:szCs w:val="22"/>
              </w:rPr>
            </w:pPr>
            <w:r w:rsidRPr="006B6D1E">
              <w:t>Немоторизовани транспорт</w:t>
            </w:r>
          </w:p>
        </w:tc>
      </w:tr>
      <w:tr w:rsidR="006165F5" w:rsidRPr="006B6D1E" w:rsidTr="009C452E">
        <w:tc>
          <w:tcPr>
            <w:tcW w:w="1980" w:type="dxa"/>
          </w:tcPr>
          <w:p w:rsidR="006165F5" w:rsidRPr="006B6D1E" w:rsidRDefault="006165F5" w:rsidP="006165F5">
            <w:pPr>
              <w:spacing w:after="0" w:line="240" w:lineRule="auto"/>
              <w:jc w:val="left"/>
              <w:rPr>
                <w:szCs w:val="22"/>
              </w:rPr>
            </w:pPr>
            <w:r w:rsidRPr="006B6D1E">
              <w:rPr>
                <w:szCs w:val="22"/>
              </w:rPr>
              <w:t>Под-сектор</w:t>
            </w:r>
          </w:p>
        </w:tc>
        <w:tc>
          <w:tcPr>
            <w:tcW w:w="992" w:type="dxa"/>
          </w:tcPr>
          <w:p w:rsidR="006165F5" w:rsidRPr="006B6D1E" w:rsidRDefault="00C87E8B" w:rsidP="00DF24D9">
            <w:pPr>
              <w:spacing w:after="0" w:line="240" w:lineRule="auto"/>
              <w:jc w:val="center"/>
              <w:rPr>
                <w:szCs w:val="22"/>
              </w:rPr>
            </w:pPr>
            <w:r w:rsidRPr="006B6D1E">
              <w:rPr>
                <w:szCs w:val="22"/>
              </w:rPr>
              <w:t>М.3</w:t>
            </w:r>
          </w:p>
        </w:tc>
        <w:tc>
          <w:tcPr>
            <w:tcW w:w="6667" w:type="dxa"/>
          </w:tcPr>
          <w:p w:rsidR="006165F5" w:rsidRPr="006B6D1E" w:rsidRDefault="00C87E8B" w:rsidP="006165F5">
            <w:pPr>
              <w:spacing w:after="0" w:line="240" w:lineRule="auto"/>
              <w:jc w:val="left"/>
              <w:rPr>
                <w:szCs w:val="22"/>
                <w:highlight w:val="yellow"/>
              </w:rPr>
            </w:pPr>
            <w:r w:rsidRPr="006B6D1E">
              <w:rPr>
                <w:szCs w:val="22"/>
              </w:rPr>
              <w:t>Проширење трот</w:t>
            </w:r>
            <w:r w:rsidR="00A25522" w:rsidRPr="006B6D1E">
              <w:rPr>
                <w:szCs w:val="22"/>
              </w:rPr>
              <w:t>оара и бициклистичких стаза</w:t>
            </w:r>
          </w:p>
        </w:tc>
      </w:tr>
    </w:tbl>
    <w:p w:rsidR="006165F5" w:rsidRPr="006B6D1E" w:rsidRDefault="006165F5" w:rsidP="006068CA">
      <w:pPr>
        <w:ind w:left="1134" w:hanging="1134"/>
        <w:rPr>
          <w:szCs w:val="22"/>
          <w:highlight w:val="yellow"/>
        </w:rPr>
      </w:pPr>
    </w:p>
    <w:tbl>
      <w:tblPr>
        <w:tblStyle w:val="TableGrid"/>
        <w:tblW w:w="7938" w:type="dxa"/>
        <w:tblCellMar>
          <w:top w:w="57" w:type="dxa"/>
          <w:bottom w:w="57" w:type="dxa"/>
        </w:tblCellMar>
        <w:tblLook w:val="04A0"/>
      </w:tblPr>
      <w:tblGrid>
        <w:gridCol w:w="4536"/>
        <w:gridCol w:w="1701"/>
        <w:gridCol w:w="1701"/>
      </w:tblGrid>
      <w:tr w:rsidR="00FF728D" w:rsidRPr="006B6D1E" w:rsidTr="009C452E">
        <w:tc>
          <w:tcPr>
            <w:tcW w:w="4536" w:type="dxa"/>
          </w:tcPr>
          <w:p w:rsidR="00FF728D" w:rsidRPr="006B6D1E" w:rsidRDefault="00FF728D" w:rsidP="009C08C1">
            <w:pPr>
              <w:spacing w:after="0" w:line="240" w:lineRule="auto"/>
              <w:jc w:val="left"/>
              <w:rPr>
                <w:sz w:val="20"/>
              </w:rPr>
            </w:pPr>
            <w:r w:rsidRPr="006B6D1E">
              <w:rPr>
                <w:sz w:val="20"/>
              </w:rPr>
              <w:t>Критеријум</w:t>
            </w:r>
          </w:p>
        </w:tc>
        <w:tc>
          <w:tcPr>
            <w:tcW w:w="1701" w:type="dxa"/>
          </w:tcPr>
          <w:p w:rsidR="00FF728D" w:rsidRPr="006B6D1E" w:rsidRDefault="00FF728D" w:rsidP="009C08C1">
            <w:pPr>
              <w:spacing w:after="0" w:line="240" w:lineRule="auto"/>
              <w:jc w:val="center"/>
              <w:rPr>
                <w:sz w:val="20"/>
              </w:rPr>
            </w:pPr>
            <w:r w:rsidRPr="006B6D1E">
              <w:rPr>
                <w:sz w:val="20"/>
              </w:rPr>
              <w:t>Максимум</w:t>
            </w:r>
          </w:p>
        </w:tc>
        <w:tc>
          <w:tcPr>
            <w:tcW w:w="1701" w:type="dxa"/>
          </w:tcPr>
          <w:p w:rsidR="00FF728D" w:rsidRPr="006B6D1E" w:rsidRDefault="00FF728D" w:rsidP="009C08C1">
            <w:pPr>
              <w:spacing w:after="0" w:line="240" w:lineRule="auto"/>
              <w:jc w:val="left"/>
              <w:rPr>
                <w:sz w:val="20"/>
              </w:rPr>
            </w:pPr>
            <w:r w:rsidRPr="006B6D1E">
              <w:rPr>
                <w:sz w:val="20"/>
              </w:rPr>
              <w:t xml:space="preserve">Број </w:t>
            </w:r>
            <w:r w:rsidR="00C87E8B" w:rsidRPr="006B6D1E">
              <w:rPr>
                <w:sz w:val="20"/>
              </w:rPr>
              <w:t>бодова</w:t>
            </w:r>
          </w:p>
        </w:tc>
      </w:tr>
      <w:tr w:rsidR="00FF728D" w:rsidRPr="006B6D1E" w:rsidTr="009C452E">
        <w:tc>
          <w:tcPr>
            <w:tcW w:w="4536" w:type="dxa"/>
          </w:tcPr>
          <w:p w:rsidR="00FF728D" w:rsidRPr="006B6D1E" w:rsidRDefault="00FF728D" w:rsidP="009C08C1">
            <w:pPr>
              <w:spacing w:after="0" w:line="240" w:lineRule="auto"/>
              <w:jc w:val="left"/>
              <w:rPr>
                <w:szCs w:val="22"/>
              </w:rPr>
            </w:pPr>
            <w:r w:rsidRPr="006B6D1E">
              <w:rPr>
                <w:szCs w:val="22"/>
              </w:rPr>
              <w:t>Саобраћајни критеријуми</w:t>
            </w:r>
          </w:p>
        </w:tc>
        <w:tc>
          <w:tcPr>
            <w:tcW w:w="1701" w:type="dxa"/>
          </w:tcPr>
          <w:p w:rsidR="00FF728D" w:rsidRPr="006B6D1E" w:rsidRDefault="00C87E8B" w:rsidP="009C08C1">
            <w:pPr>
              <w:spacing w:after="0" w:line="240" w:lineRule="auto"/>
              <w:jc w:val="center"/>
              <w:rPr>
                <w:szCs w:val="22"/>
              </w:rPr>
            </w:pPr>
            <w:r w:rsidRPr="006B6D1E">
              <w:rPr>
                <w:szCs w:val="22"/>
              </w:rPr>
              <w:t>50</w:t>
            </w:r>
          </w:p>
        </w:tc>
        <w:tc>
          <w:tcPr>
            <w:tcW w:w="1701" w:type="dxa"/>
          </w:tcPr>
          <w:p w:rsidR="00FF728D" w:rsidRPr="006B6D1E" w:rsidRDefault="00C87E8B" w:rsidP="00FF728D">
            <w:pPr>
              <w:spacing w:after="0" w:line="240" w:lineRule="auto"/>
              <w:jc w:val="center"/>
              <w:rPr>
                <w:szCs w:val="22"/>
              </w:rPr>
            </w:pPr>
            <w:r w:rsidRPr="006B6D1E">
              <w:rPr>
                <w:szCs w:val="22"/>
              </w:rPr>
              <w:t>25</w:t>
            </w:r>
          </w:p>
        </w:tc>
      </w:tr>
      <w:tr w:rsidR="00FF728D" w:rsidRPr="006B6D1E" w:rsidTr="009C452E">
        <w:tc>
          <w:tcPr>
            <w:tcW w:w="4536" w:type="dxa"/>
          </w:tcPr>
          <w:p w:rsidR="00FF728D" w:rsidRPr="006B6D1E" w:rsidRDefault="00FF728D" w:rsidP="009C08C1">
            <w:pPr>
              <w:spacing w:after="0" w:line="240" w:lineRule="auto"/>
              <w:jc w:val="left"/>
              <w:rPr>
                <w:szCs w:val="22"/>
              </w:rPr>
            </w:pPr>
            <w:r w:rsidRPr="006B6D1E">
              <w:rPr>
                <w:szCs w:val="22"/>
              </w:rPr>
              <w:t>Социјални критеријуми</w:t>
            </w:r>
          </w:p>
        </w:tc>
        <w:tc>
          <w:tcPr>
            <w:tcW w:w="1701" w:type="dxa"/>
          </w:tcPr>
          <w:p w:rsidR="00FF728D" w:rsidRPr="006B6D1E" w:rsidRDefault="00C87E8B" w:rsidP="009C08C1">
            <w:pPr>
              <w:spacing w:after="0" w:line="240" w:lineRule="auto"/>
              <w:jc w:val="center"/>
              <w:rPr>
                <w:szCs w:val="22"/>
              </w:rPr>
            </w:pPr>
            <w:r w:rsidRPr="006B6D1E">
              <w:rPr>
                <w:szCs w:val="22"/>
              </w:rPr>
              <w:t>21</w:t>
            </w:r>
          </w:p>
        </w:tc>
        <w:tc>
          <w:tcPr>
            <w:tcW w:w="1701" w:type="dxa"/>
          </w:tcPr>
          <w:p w:rsidR="00FF728D" w:rsidRPr="006B6D1E" w:rsidRDefault="00C87E8B" w:rsidP="00FF728D">
            <w:pPr>
              <w:spacing w:after="0" w:line="240" w:lineRule="auto"/>
              <w:jc w:val="center"/>
              <w:rPr>
                <w:szCs w:val="22"/>
              </w:rPr>
            </w:pPr>
            <w:r w:rsidRPr="006B6D1E">
              <w:rPr>
                <w:szCs w:val="22"/>
              </w:rPr>
              <w:t>21</w:t>
            </w:r>
          </w:p>
        </w:tc>
      </w:tr>
      <w:tr w:rsidR="00FF728D" w:rsidRPr="006B6D1E" w:rsidTr="009C452E">
        <w:tc>
          <w:tcPr>
            <w:tcW w:w="4536" w:type="dxa"/>
          </w:tcPr>
          <w:p w:rsidR="00FF728D" w:rsidRPr="006B6D1E" w:rsidRDefault="00FF728D" w:rsidP="009C08C1">
            <w:pPr>
              <w:spacing w:after="0" w:line="240" w:lineRule="auto"/>
              <w:jc w:val="left"/>
              <w:rPr>
                <w:szCs w:val="22"/>
                <w:highlight w:val="yellow"/>
              </w:rPr>
            </w:pPr>
            <w:r w:rsidRPr="006B6D1E">
              <w:rPr>
                <w:szCs w:val="22"/>
              </w:rPr>
              <w:t>Еколошки критеријуми, урбана мобилност и отпорност на климатске промене</w:t>
            </w:r>
          </w:p>
        </w:tc>
        <w:tc>
          <w:tcPr>
            <w:tcW w:w="1701" w:type="dxa"/>
          </w:tcPr>
          <w:p w:rsidR="00FF728D" w:rsidRPr="006B6D1E" w:rsidRDefault="00C87E8B" w:rsidP="009C08C1">
            <w:pPr>
              <w:spacing w:after="0" w:line="240" w:lineRule="auto"/>
              <w:jc w:val="center"/>
              <w:rPr>
                <w:szCs w:val="22"/>
              </w:rPr>
            </w:pPr>
            <w:r w:rsidRPr="006B6D1E">
              <w:rPr>
                <w:szCs w:val="22"/>
              </w:rPr>
              <w:t>12</w:t>
            </w:r>
          </w:p>
        </w:tc>
        <w:tc>
          <w:tcPr>
            <w:tcW w:w="1701" w:type="dxa"/>
          </w:tcPr>
          <w:p w:rsidR="00FF728D" w:rsidRPr="006B6D1E" w:rsidRDefault="00C87E8B" w:rsidP="00FF728D">
            <w:pPr>
              <w:spacing w:after="0" w:line="240" w:lineRule="auto"/>
              <w:jc w:val="center"/>
              <w:rPr>
                <w:szCs w:val="22"/>
              </w:rPr>
            </w:pPr>
            <w:r w:rsidRPr="006B6D1E">
              <w:rPr>
                <w:szCs w:val="22"/>
              </w:rPr>
              <w:t>4</w:t>
            </w:r>
          </w:p>
        </w:tc>
      </w:tr>
      <w:tr w:rsidR="00FF728D" w:rsidRPr="006B6D1E" w:rsidTr="009C452E">
        <w:tc>
          <w:tcPr>
            <w:tcW w:w="4536" w:type="dxa"/>
          </w:tcPr>
          <w:p w:rsidR="00FF728D" w:rsidRPr="006B6D1E" w:rsidRDefault="00FF728D" w:rsidP="009C08C1">
            <w:pPr>
              <w:spacing w:after="0" w:line="240" w:lineRule="auto"/>
              <w:jc w:val="left"/>
              <w:rPr>
                <w:b/>
                <w:szCs w:val="22"/>
              </w:rPr>
            </w:pPr>
            <w:r w:rsidRPr="006B6D1E">
              <w:rPr>
                <w:b/>
                <w:szCs w:val="22"/>
              </w:rPr>
              <w:t>УКУПНО</w:t>
            </w:r>
          </w:p>
        </w:tc>
        <w:tc>
          <w:tcPr>
            <w:tcW w:w="1701" w:type="dxa"/>
          </w:tcPr>
          <w:p w:rsidR="00FF728D" w:rsidRPr="006B6D1E" w:rsidRDefault="00C87E8B" w:rsidP="009C08C1">
            <w:pPr>
              <w:spacing w:after="0" w:line="240" w:lineRule="auto"/>
              <w:jc w:val="center"/>
              <w:rPr>
                <w:szCs w:val="22"/>
              </w:rPr>
            </w:pPr>
            <w:r w:rsidRPr="006B6D1E">
              <w:rPr>
                <w:szCs w:val="22"/>
              </w:rPr>
              <w:t>83</w:t>
            </w:r>
          </w:p>
          <w:p w:rsidR="00DC3BF9" w:rsidRPr="006B6D1E" w:rsidRDefault="00DC3BF9" w:rsidP="009C08C1">
            <w:pPr>
              <w:spacing w:after="0" w:line="240" w:lineRule="auto"/>
              <w:jc w:val="center"/>
              <w:rPr>
                <w:szCs w:val="22"/>
              </w:rPr>
            </w:pPr>
            <w:r w:rsidRPr="006B6D1E">
              <w:rPr>
                <w:b/>
                <w:szCs w:val="22"/>
              </w:rPr>
              <w:t>(&gt; 50%)</w:t>
            </w:r>
          </w:p>
        </w:tc>
        <w:tc>
          <w:tcPr>
            <w:tcW w:w="1701" w:type="dxa"/>
          </w:tcPr>
          <w:p w:rsidR="00DC3BF9" w:rsidRPr="006B6D1E" w:rsidRDefault="00C87E8B" w:rsidP="00FF728D">
            <w:pPr>
              <w:spacing w:after="0" w:line="240" w:lineRule="auto"/>
              <w:jc w:val="center"/>
              <w:rPr>
                <w:b/>
                <w:szCs w:val="22"/>
              </w:rPr>
            </w:pPr>
            <w:r w:rsidRPr="006B6D1E">
              <w:rPr>
                <w:b/>
                <w:szCs w:val="22"/>
              </w:rPr>
              <w:t>50</w:t>
            </w:r>
          </w:p>
          <w:p w:rsidR="00FF728D" w:rsidRPr="006B6D1E" w:rsidRDefault="00FF728D" w:rsidP="00DC3BF9">
            <w:pPr>
              <w:spacing w:after="0" w:line="240" w:lineRule="auto"/>
              <w:jc w:val="center"/>
              <w:rPr>
                <w:b/>
                <w:szCs w:val="22"/>
              </w:rPr>
            </w:pPr>
            <w:r w:rsidRPr="006B6D1E">
              <w:rPr>
                <w:b/>
                <w:szCs w:val="22"/>
              </w:rPr>
              <w:t>(6</w:t>
            </w:r>
            <w:r w:rsidR="00C87E8B" w:rsidRPr="006B6D1E">
              <w:rPr>
                <w:b/>
                <w:szCs w:val="22"/>
              </w:rPr>
              <w:t>0</w:t>
            </w:r>
            <w:r w:rsidR="00DC3BF9" w:rsidRPr="006B6D1E">
              <w:rPr>
                <w:b/>
                <w:szCs w:val="22"/>
              </w:rPr>
              <w:t>.</w:t>
            </w:r>
            <w:r w:rsidR="00C87E8B" w:rsidRPr="006B6D1E">
              <w:rPr>
                <w:b/>
                <w:szCs w:val="22"/>
              </w:rPr>
              <w:t>24</w:t>
            </w:r>
            <w:r w:rsidRPr="006B6D1E">
              <w:rPr>
                <w:b/>
                <w:szCs w:val="22"/>
              </w:rPr>
              <w:t>%)</w:t>
            </w:r>
          </w:p>
        </w:tc>
      </w:tr>
    </w:tbl>
    <w:p w:rsidR="00FF728D" w:rsidRPr="006B6D1E" w:rsidRDefault="00FF728D" w:rsidP="00FF728D">
      <w:pPr>
        <w:ind w:left="1134" w:hanging="1134"/>
        <w:rPr>
          <w:szCs w:val="22"/>
          <w:highlight w:val="yellow"/>
        </w:rPr>
      </w:pPr>
    </w:p>
    <w:p w:rsidR="006165F5" w:rsidRPr="006B6D1E" w:rsidRDefault="00FF728D" w:rsidP="006068CA">
      <w:pPr>
        <w:ind w:left="1134" w:hanging="1134"/>
        <w:rPr>
          <w:szCs w:val="22"/>
        </w:rPr>
      </w:pPr>
      <w:r w:rsidRPr="006B6D1E">
        <w:rPr>
          <w:szCs w:val="22"/>
        </w:rPr>
        <w:t>Закључак:</w:t>
      </w:r>
      <w:r w:rsidRPr="006B6D1E">
        <w:rPr>
          <w:szCs w:val="22"/>
        </w:rPr>
        <w:tab/>
      </w:r>
      <w:r w:rsidRPr="006B6D1E">
        <w:rPr>
          <w:b/>
          <w:szCs w:val="22"/>
        </w:rPr>
        <w:t xml:space="preserve">Пројекат је подобан за </w:t>
      </w:r>
      <w:r w:rsidR="009C452E" w:rsidRPr="006B6D1E">
        <w:rPr>
          <w:b/>
          <w:szCs w:val="22"/>
        </w:rPr>
        <w:t xml:space="preserve">финансирање </w:t>
      </w:r>
      <w:r w:rsidRPr="006B6D1E">
        <w:rPr>
          <w:b/>
          <w:szCs w:val="22"/>
        </w:rPr>
        <w:t xml:space="preserve">и усаглашен </w:t>
      </w:r>
      <w:r w:rsidR="009C452E" w:rsidRPr="006B6D1E">
        <w:rPr>
          <w:b/>
          <w:szCs w:val="22"/>
        </w:rPr>
        <w:t>са захтевима</w:t>
      </w:r>
    </w:p>
    <w:p w:rsidR="00F26088" w:rsidRPr="006B6D1E" w:rsidRDefault="00F26088" w:rsidP="006068CA">
      <w:pPr>
        <w:ind w:left="1134" w:hanging="1134"/>
        <w:rPr>
          <w:szCs w:val="22"/>
        </w:rPr>
      </w:pPr>
    </w:p>
    <w:p w:rsidR="00F26088" w:rsidRPr="006B6D1E" w:rsidRDefault="00F26088" w:rsidP="006068CA">
      <w:pPr>
        <w:ind w:left="1134" w:hanging="1134"/>
        <w:rPr>
          <w:b/>
          <w:szCs w:val="22"/>
          <w:u w:val="single"/>
        </w:rPr>
      </w:pPr>
      <w:r w:rsidRPr="006B6D1E">
        <w:rPr>
          <w:b/>
          <w:szCs w:val="22"/>
          <w:u w:val="single"/>
        </w:rPr>
        <w:t>Сажет опис ЈЛС пројекта</w:t>
      </w:r>
    </w:p>
    <w:p w:rsidR="00F26088" w:rsidRPr="006B6D1E" w:rsidRDefault="00F26088" w:rsidP="006068CA">
      <w:pPr>
        <w:ind w:left="1134" w:hanging="1134"/>
        <w:rPr>
          <w:szCs w:val="22"/>
          <w:highlight w:val="yellow"/>
        </w:rPr>
      </w:pPr>
    </w:p>
    <w:p w:rsidR="002C2F2A" w:rsidRPr="006B6D1E" w:rsidRDefault="002C2F2A" w:rsidP="002C2F2A">
      <w:r w:rsidRPr="006B6D1E">
        <w:t>Булевара Краља Александра I у Тополи је</w:t>
      </w:r>
      <w:r w:rsidR="006B2795" w:rsidRPr="006B6D1E">
        <w:t xml:space="preserve"> део</w:t>
      </w:r>
      <w:r w:rsidRPr="006B6D1E">
        <w:t xml:space="preserve"> градске путне мреже, уклопљен у градски систем саобраћаја по питању брзине, капацитета, поузданости и комфора. Пролази кроз већ формиране урбане структуре.</w:t>
      </w:r>
      <w:r w:rsidR="00FA75A6" w:rsidRPr="006B6D1E">
        <w:t xml:space="preserve"> </w:t>
      </w:r>
      <w:r w:rsidR="00322EEC" w:rsidRPr="006B6D1E">
        <w:t>Захват пројекта је у централној зони Тополе и обухвата целе или делове катастарских парцела к.п.бр.</w:t>
      </w:r>
      <w:r w:rsidR="00FA75A6" w:rsidRPr="006B6D1E">
        <w:t xml:space="preserve"> </w:t>
      </w:r>
      <w:r w:rsidR="00322EEC" w:rsidRPr="006B6D1E">
        <w:t>2804/1, 2807/1, 2812, 590, 1694 и 1695 К.О. Топола Варош.</w:t>
      </w:r>
    </w:p>
    <w:p w:rsidR="00F750B8" w:rsidRPr="006B6D1E" w:rsidRDefault="00F750B8" w:rsidP="002C2F2A"/>
    <w:p w:rsidR="00322EEC" w:rsidRPr="006B6D1E" w:rsidRDefault="00322EEC" w:rsidP="002C2F2A">
      <w:r w:rsidRPr="006B6D1E">
        <w:t xml:space="preserve">У склопу захвата пројекта могу се </w:t>
      </w:r>
      <w:r w:rsidR="002C2F2A" w:rsidRPr="006B6D1E">
        <w:t>и</w:t>
      </w:r>
      <w:r w:rsidRPr="006B6D1E">
        <w:t>здвојити две целине:</w:t>
      </w:r>
    </w:p>
    <w:p w:rsidR="00322EEC" w:rsidRPr="006B6D1E" w:rsidRDefault="00322EEC" w:rsidP="00FA75A6">
      <w:pPr>
        <w:jc w:val="left"/>
        <w:rPr>
          <w:szCs w:val="22"/>
        </w:rPr>
      </w:pPr>
      <w:r w:rsidRPr="006B6D1E">
        <w:rPr>
          <w:szCs w:val="22"/>
        </w:rPr>
        <w:t>1. Булевар Краља Александра I (део к.п.бр. 2804/1 и к.п.бр. 2807/1 и 2812) и</w:t>
      </w:r>
    </w:p>
    <w:p w:rsidR="00322EEC" w:rsidRPr="006B6D1E" w:rsidRDefault="00322EEC" w:rsidP="00FA75A6">
      <w:pPr>
        <w:jc w:val="left"/>
        <w:rPr>
          <w:szCs w:val="22"/>
        </w:rPr>
      </w:pPr>
      <w:r w:rsidRPr="006B6D1E">
        <w:rPr>
          <w:szCs w:val="22"/>
        </w:rPr>
        <w:t>2. део парцеле ОШ Карађорђе (к.п.бр. 590).</w:t>
      </w:r>
    </w:p>
    <w:p w:rsidR="00322EEC" w:rsidRPr="006B6D1E" w:rsidRDefault="00322EEC" w:rsidP="00961AB2"/>
    <w:p w:rsidR="00961AB2" w:rsidRPr="006B6D1E" w:rsidRDefault="00322EEC" w:rsidP="00961AB2">
      <w:r w:rsidRPr="006B6D1E">
        <w:t xml:space="preserve">У склопу целине </w:t>
      </w:r>
      <w:r w:rsidR="00FA75A6" w:rsidRPr="006B6D1E">
        <w:t xml:space="preserve">1 </w:t>
      </w:r>
      <w:r w:rsidRPr="006B6D1E">
        <w:t>дефинисан је захват од раскрснице са улицама Радоја</w:t>
      </w:r>
      <w:r w:rsidR="00961AB2" w:rsidRPr="006B6D1E">
        <w:t xml:space="preserve"> </w:t>
      </w:r>
      <w:r w:rsidRPr="006B6D1E">
        <w:t>Домановића и Ђурђевданске, преко раскрснице са улицама Принца Томислава Карађорђевића и</w:t>
      </w:r>
      <w:r w:rsidR="00961AB2" w:rsidRPr="006B6D1E">
        <w:t xml:space="preserve"> </w:t>
      </w:r>
      <w:r w:rsidRPr="006B6D1E">
        <w:t>Књегиње Зорке, раскрснице са Булеваром Вожда Карађорђа па дуж улице Мије Тодоровића</w:t>
      </w:r>
      <w:r w:rsidR="00961AB2" w:rsidRPr="006B6D1E">
        <w:t xml:space="preserve"> </w:t>
      </w:r>
      <w:r w:rsidRPr="006B6D1E">
        <w:t xml:space="preserve">закључно са Основном школом Карађорђе. У склопу ове целине </w:t>
      </w:r>
      <w:r w:rsidR="00BD5AF0" w:rsidRPr="006B6D1E">
        <w:t xml:space="preserve">1 </w:t>
      </w:r>
      <w:r w:rsidRPr="006B6D1E">
        <w:t xml:space="preserve">могу се дефинисати </w:t>
      </w:r>
      <w:r w:rsidR="00BD5AF0" w:rsidRPr="006B6D1E">
        <w:t>следеће</w:t>
      </w:r>
      <w:r w:rsidRPr="006B6D1E">
        <w:t xml:space="preserve"> подцелине:</w:t>
      </w:r>
      <w:r w:rsidR="00961AB2" w:rsidRPr="006B6D1E">
        <w:t xml:space="preserve"> </w:t>
      </w:r>
    </w:p>
    <w:p w:rsidR="00322EEC" w:rsidRPr="006B6D1E" w:rsidRDefault="006B2795" w:rsidP="006B2795">
      <w:pPr>
        <w:pStyle w:val="ListParagraph"/>
        <w:numPr>
          <w:ilvl w:val="0"/>
          <w:numId w:val="29"/>
        </w:numPr>
        <w:rPr>
          <w:sz w:val="22"/>
          <w:szCs w:val="22"/>
        </w:rPr>
      </w:pPr>
      <w:r w:rsidRPr="006B6D1E">
        <w:rPr>
          <w:sz w:val="22"/>
          <w:szCs w:val="22"/>
        </w:rPr>
        <w:t xml:space="preserve">1.1 </w:t>
      </w:r>
      <w:r w:rsidR="00FB0B6A" w:rsidRPr="006B6D1E">
        <w:rPr>
          <w:sz w:val="22"/>
          <w:szCs w:val="22"/>
        </w:rPr>
        <w:t xml:space="preserve">прва половина </w:t>
      </w:r>
      <w:r w:rsidR="00322EEC" w:rsidRPr="006B6D1E">
        <w:rPr>
          <w:sz w:val="22"/>
          <w:szCs w:val="22"/>
        </w:rPr>
        <w:t>од раскрснице са улицама Радоја Домовића и Ђурђевданске, до раскрснице са</w:t>
      </w:r>
      <w:r w:rsidR="00961AB2" w:rsidRPr="006B6D1E">
        <w:rPr>
          <w:sz w:val="22"/>
          <w:szCs w:val="22"/>
        </w:rPr>
        <w:t xml:space="preserve"> </w:t>
      </w:r>
      <w:r w:rsidR="00322EEC" w:rsidRPr="006B6D1E">
        <w:rPr>
          <w:sz w:val="22"/>
          <w:szCs w:val="22"/>
        </w:rPr>
        <w:t>улицама Принца Томислава Карађорђевића и Књегиње Зорке,</w:t>
      </w:r>
    </w:p>
    <w:p w:rsidR="00247907" w:rsidRPr="006B6D1E" w:rsidRDefault="00247907" w:rsidP="006B2795">
      <w:pPr>
        <w:pStyle w:val="ListParagraph"/>
        <w:numPr>
          <w:ilvl w:val="0"/>
          <w:numId w:val="29"/>
        </w:numPr>
        <w:rPr>
          <w:sz w:val="22"/>
          <w:szCs w:val="22"/>
        </w:rPr>
      </w:pPr>
      <w:r w:rsidRPr="006B6D1E">
        <w:rPr>
          <w:sz w:val="22"/>
          <w:szCs w:val="22"/>
        </w:rPr>
        <w:t xml:space="preserve">1.1а </w:t>
      </w:r>
      <w:r w:rsidR="00FB0B6A" w:rsidRPr="006B6D1E">
        <w:rPr>
          <w:sz w:val="22"/>
          <w:szCs w:val="22"/>
        </w:rPr>
        <w:t>друга половина од раскрснице са улицама Радоја Домовића и Ђурђевданске, до раскрснице са улицама Принца Томислава Карађорђевића и Књегиње Зорке</w:t>
      </w:r>
    </w:p>
    <w:p w:rsidR="00322EEC" w:rsidRPr="006B6D1E" w:rsidRDefault="006B2795" w:rsidP="004F7F07">
      <w:pPr>
        <w:pStyle w:val="ListParagraph"/>
        <w:numPr>
          <w:ilvl w:val="0"/>
          <w:numId w:val="29"/>
        </w:numPr>
        <w:rPr>
          <w:sz w:val="22"/>
          <w:szCs w:val="22"/>
        </w:rPr>
      </w:pPr>
      <w:r w:rsidRPr="006B6D1E">
        <w:rPr>
          <w:sz w:val="22"/>
          <w:szCs w:val="22"/>
        </w:rPr>
        <w:t xml:space="preserve">1.2 </w:t>
      </w:r>
      <w:r w:rsidR="00322EEC" w:rsidRPr="006B6D1E">
        <w:rPr>
          <w:sz w:val="22"/>
          <w:szCs w:val="22"/>
        </w:rPr>
        <w:t>од раскрснице са улицама Принца Томислава Карађорђевића и Књегиње Зорке до</w:t>
      </w:r>
      <w:r w:rsidR="00961AB2" w:rsidRPr="006B6D1E">
        <w:rPr>
          <w:sz w:val="22"/>
          <w:szCs w:val="22"/>
        </w:rPr>
        <w:t xml:space="preserve"> </w:t>
      </w:r>
      <w:r w:rsidR="00322EEC" w:rsidRPr="006B6D1E">
        <w:rPr>
          <w:sz w:val="22"/>
          <w:szCs w:val="22"/>
        </w:rPr>
        <w:t>раскрснице са Булеваром Вожда Карађорђа и</w:t>
      </w:r>
    </w:p>
    <w:p w:rsidR="00322EEC" w:rsidRPr="006B6D1E" w:rsidRDefault="00322EEC" w:rsidP="00504C61">
      <w:pPr>
        <w:pStyle w:val="ListParagraph"/>
        <w:numPr>
          <w:ilvl w:val="0"/>
          <w:numId w:val="29"/>
        </w:numPr>
        <w:rPr>
          <w:sz w:val="22"/>
          <w:szCs w:val="22"/>
        </w:rPr>
      </w:pPr>
      <w:r w:rsidRPr="006B6D1E">
        <w:rPr>
          <w:sz w:val="22"/>
          <w:szCs w:val="22"/>
        </w:rPr>
        <w:t>1.3</w:t>
      </w:r>
      <w:r w:rsidR="006B2795" w:rsidRPr="006B6D1E">
        <w:rPr>
          <w:sz w:val="22"/>
          <w:szCs w:val="22"/>
        </w:rPr>
        <w:t>.</w:t>
      </w:r>
      <w:r w:rsidRPr="006B6D1E">
        <w:rPr>
          <w:sz w:val="22"/>
          <w:szCs w:val="22"/>
        </w:rPr>
        <w:t xml:space="preserve"> од раскрснице са Булеваром Вожда Карађорђа дуж улице Мије Тодоровића закључно са</w:t>
      </w:r>
      <w:r w:rsidR="00961AB2" w:rsidRPr="006B6D1E">
        <w:rPr>
          <w:sz w:val="22"/>
          <w:szCs w:val="22"/>
        </w:rPr>
        <w:t xml:space="preserve"> </w:t>
      </w:r>
      <w:r w:rsidRPr="006B6D1E">
        <w:rPr>
          <w:sz w:val="22"/>
          <w:szCs w:val="22"/>
        </w:rPr>
        <w:t>Основном школом Карађорђе.</w:t>
      </w:r>
    </w:p>
    <w:p w:rsidR="002C2F2A" w:rsidRPr="006B6D1E" w:rsidRDefault="002C2F2A" w:rsidP="00961AB2"/>
    <w:p w:rsidR="00FB0B6A" w:rsidRPr="006B6D1E" w:rsidRDefault="00FB0B6A" w:rsidP="00961AB2">
      <w:r w:rsidRPr="006B6D1E">
        <w:t>Предмет овог уговора о гранту су целине 1.1а, 1.2 и 1.3.</w:t>
      </w:r>
    </w:p>
    <w:p w:rsidR="00FB0B6A" w:rsidRPr="006B6D1E" w:rsidRDefault="00FB0B6A" w:rsidP="00961AB2"/>
    <w:p w:rsidR="00322EEC" w:rsidRPr="006B6D1E" w:rsidRDefault="00322EEC" w:rsidP="006A145F">
      <w:pPr>
        <w:keepNext/>
        <w:spacing w:after="60"/>
        <w:rPr>
          <w:u w:val="single"/>
        </w:rPr>
      </w:pPr>
      <w:r w:rsidRPr="006B6D1E">
        <w:rPr>
          <w:u w:val="single"/>
        </w:rPr>
        <w:t>Целина 1</w:t>
      </w:r>
    </w:p>
    <w:p w:rsidR="00322EEC" w:rsidRPr="006B6D1E" w:rsidRDefault="00322EEC" w:rsidP="006A145F">
      <w:pPr>
        <w:keepNext/>
        <w:spacing w:after="60"/>
        <w:rPr>
          <w:i/>
          <w:iCs/>
        </w:rPr>
      </w:pPr>
      <w:r w:rsidRPr="006B6D1E">
        <w:rPr>
          <w:i/>
          <w:iCs/>
        </w:rPr>
        <w:t>Функционално и регулационо решење</w:t>
      </w:r>
    </w:p>
    <w:p w:rsidR="006B6D1E" w:rsidRPr="006B6D1E" w:rsidRDefault="00322EEC" w:rsidP="006B6D1E">
      <w:pPr>
        <w:rPr>
          <w:rFonts w:eastAsiaTheme="minorHAnsi"/>
        </w:rPr>
      </w:pPr>
      <w:r w:rsidRPr="006B6D1E">
        <w:t>Предметни простор је на наведеном потезу ограничен изграђеном физичком структуром –</w:t>
      </w:r>
      <w:r w:rsidR="00961AB2" w:rsidRPr="006B6D1E">
        <w:t xml:space="preserve"> </w:t>
      </w:r>
      <w:r w:rsidRPr="006B6D1E">
        <w:t xml:space="preserve">објектима, као и постојећим границама коловоза. </w:t>
      </w:r>
      <w:r w:rsidR="006B6D1E" w:rsidRPr="006B6D1E">
        <w:rPr>
          <w:rFonts w:eastAsiaTheme="minorHAnsi"/>
        </w:rPr>
        <w:t>Постојећа регулација коловоза се задржава. Сам коловоз није предмет пројекта. Код колских прилаза, као и код паркинг места која су предвиђена у склопу захвата интервенције предвиђени су оборени ивичњаци. Ивичњаци су оборени и у делу приступа пешачким прелазима, како би се омогућио приступ особама са инвалидитетом. У овом делу се постављају и тактилне плоче, у складу са важећим прописима. У осталим деловима постављају се високи ивичњаци.</w:t>
      </w:r>
    </w:p>
    <w:p w:rsidR="006B6D1E" w:rsidRPr="006B6D1E" w:rsidRDefault="006B6D1E" w:rsidP="006B6D1E">
      <w:pPr>
        <w:rPr>
          <w:rFonts w:eastAsiaTheme="minorHAnsi"/>
        </w:rPr>
      </w:pPr>
    </w:p>
    <w:p w:rsidR="006B6D1E" w:rsidRPr="006B6D1E" w:rsidRDefault="006B6D1E" w:rsidP="006B6D1E">
      <w:pPr>
        <w:rPr>
          <w:rFonts w:eastAsiaTheme="minorHAnsi"/>
        </w:rPr>
      </w:pPr>
      <w:r w:rsidRPr="006B6D1E">
        <w:rPr>
          <w:rFonts w:eastAsiaTheme="minorHAnsi"/>
        </w:rPr>
        <w:t>У склопу подцелине 1.1 и 1.1а, са јужне стране булевара предвиђен је низ паркинг места за управно паркирање, који је обрађен растер бетонским плочама. Између паркинг места и пешачке комуникације која је предвиђена уз објекте формиране су зелене површине са просторима за одмор и монтажним објектима и баштама угоститељских објеката. У склопу пешачке комуникације предвиђено је поплочавање бетонским плочама и гранитним коцкама у делу пешачке стазе. Уз стазу од гранитних коцки, која симболише кретање кроз време и историју Тополе, на појединим местима предвиђене су инфо табле које означавају значајне догађаје. У западном делу ове подцелине, на споју са подцелином 1.2, формира се нова фонтана, чесма и простор за одмор и социјализацију.</w:t>
      </w:r>
    </w:p>
    <w:p w:rsidR="006B6D1E" w:rsidRPr="006B6D1E" w:rsidRDefault="006B6D1E" w:rsidP="006B6D1E">
      <w:pPr>
        <w:rPr>
          <w:rFonts w:eastAsiaTheme="minorHAnsi"/>
        </w:rPr>
      </w:pPr>
    </w:p>
    <w:p w:rsidR="006B6D1E" w:rsidRPr="006B6D1E" w:rsidRDefault="006B6D1E" w:rsidP="006B6D1E">
      <w:pPr>
        <w:rPr>
          <w:rFonts w:eastAsiaTheme="minorHAnsi"/>
        </w:rPr>
      </w:pPr>
      <w:r w:rsidRPr="006B6D1E">
        <w:rPr>
          <w:rFonts w:eastAsiaTheme="minorHAnsi"/>
        </w:rPr>
        <w:t>Са северне стране формиран је низ паркинг места са паралелним паркирањем. И овај низ је обрађен растер бетонским плочама. Остатак је поплочан бетонским плочама са појединим деловима партерног зеленила.</w:t>
      </w:r>
      <w:r>
        <w:rPr>
          <w:rFonts w:eastAsiaTheme="minorHAnsi"/>
        </w:rPr>
        <w:t xml:space="preserve"> </w:t>
      </w:r>
      <w:r w:rsidRPr="006B6D1E">
        <w:rPr>
          <w:rFonts w:eastAsiaTheme="minorHAnsi"/>
        </w:rPr>
        <w:t>Постојеће саднице високог зеленила у овој подцелини се у потпуности задржавају, осим једног стабла у западном делу које се уклања.</w:t>
      </w:r>
    </w:p>
    <w:p w:rsidR="006B6D1E" w:rsidRPr="006B6D1E" w:rsidRDefault="006B6D1E" w:rsidP="006B6D1E">
      <w:pPr>
        <w:rPr>
          <w:rFonts w:eastAsiaTheme="minorHAnsi"/>
        </w:rPr>
      </w:pPr>
    </w:p>
    <w:p w:rsidR="006B6D1E" w:rsidRDefault="006B6D1E" w:rsidP="006B6D1E">
      <w:pPr>
        <w:rPr>
          <w:rFonts w:eastAsiaTheme="minorHAnsi"/>
        </w:rPr>
      </w:pPr>
      <w:r w:rsidRPr="006B6D1E">
        <w:rPr>
          <w:rFonts w:eastAsiaTheme="minorHAnsi"/>
        </w:rPr>
        <w:t>Подцелина 1.2 представља пешачку целину без простора за партерно зеленило, са паралелним</w:t>
      </w:r>
      <w:r>
        <w:rPr>
          <w:rFonts w:eastAsiaTheme="minorHAnsi"/>
        </w:rPr>
        <w:t xml:space="preserve"> </w:t>
      </w:r>
      <w:r w:rsidRPr="006B6D1E">
        <w:rPr>
          <w:rFonts w:eastAsiaTheme="minorHAnsi"/>
        </w:rPr>
        <w:t>паркирањем у склопу регулације коловоза. И у склопу ове целине предвиђено је неколико</w:t>
      </w:r>
      <w:r>
        <w:rPr>
          <w:rFonts w:eastAsiaTheme="minorHAnsi"/>
        </w:rPr>
        <w:t xml:space="preserve"> </w:t>
      </w:r>
      <w:r w:rsidRPr="006B6D1E">
        <w:rPr>
          <w:rFonts w:eastAsiaTheme="minorHAnsi"/>
        </w:rPr>
        <w:t>монтажних објеката, у складу са важећим програмом општине. У склопу пешачке комуникације</w:t>
      </w:r>
      <w:r>
        <w:rPr>
          <w:rFonts w:eastAsiaTheme="minorHAnsi"/>
        </w:rPr>
        <w:t xml:space="preserve"> </w:t>
      </w:r>
      <w:r w:rsidRPr="006B6D1E">
        <w:rPr>
          <w:rFonts w:eastAsiaTheme="minorHAnsi"/>
        </w:rPr>
        <w:t>предвиђено је поплочавање бетонским плочама и гранитним коцкама.</w:t>
      </w:r>
    </w:p>
    <w:p w:rsidR="006B6D1E" w:rsidRPr="006B6D1E" w:rsidRDefault="006B6D1E" w:rsidP="006B6D1E">
      <w:pPr>
        <w:rPr>
          <w:rFonts w:eastAsiaTheme="minorHAnsi"/>
        </w:rPr>
      </w:pPr>
    </w:p>
    <w:p w:rsidR="006B6D1E" w:rsidRDefault="006B6D1E" w:rsidP="006B6D1E">
      <w:pPr>
        <w:rPr>
          <w:rFonts w:eastAsiaTheme="minorHAnsi"/>
        </w:rPr>
      </w:pPr>
      <w:r w:rsidRPr="006B6D1E">
        <w:rPr>
          <w:rFonts w:eastAsiaTheme="minorHAnsi"/>
        </w:rPr>
        <w:t>Када је у питању подцелина 1.3, она са јужне стране има само пешачку комуникацију – тротоар, док</w:t>
      </w:r>
      <w:r>
        <w:rPr>
          <w:rFonts w:eastAsiaTheme="minorHAnsi"/>
        </w:rPr>
        <w:t xml:space="preserve"> </w:t>
      </w:r>
      <w:r w:rsidRPr="006B6D1E">
        <w:rPr>
          <w:rFonts w:eastAsiaTheme="minorHAnsi"/>
        </w:rPr>
        <w:t>је са северне стране, између раскрснице са булеваром Вожда Карађорђа и Основне школе</w:t>
      </w:r>
      <w:r>
        <w:rPr>
          <w:rFonts w:eastAsiaTheme="minorHAnsi"/>
        </w:rPr>
        <w:t xml:space="preserve"> </w:t>
      </w:r>
      <w:r w:rsidRPr="006B6D1E">
        <w:rPr>
          <w:rFonts w:eastAsiaTheme="minorHAnsi"/>
        </w:rPr>
        <w:t>Карађорђе, предвиђена зона са паркинг местима са парелелним паркирањем, зеленилом и пешачка</w:t>
      </w:r>
      <w:r>
        <w:rPr>
          <w:rFonts w:eastAsiaTheme="minorHAnsi"/>
        </w:rPr>
        <w:t xml:space="preserve"> </w:t>
      </w:r>
      <w:r w:rsidRPr="006B6D1E">
        <w:rPr>
          <w:rFonts w:eastAsiaTheme="minorHAnsi"/>
        </w:rPr>
        <w:t>зона. У зони школе предвиђена је заштитна ограда за пешаке. У зони раскрснице са Булеваром</w:t>
      </w:r>
      <w:r>
        <w:rPr>
          <w:rFonts w:eastAsiaTheme="minorHAnsi"/>
        </w:rPr>
        <w:t xml:space="preserve"> </w:t>
      </w:r>
      <w:r w:rsidRPr="006B6D1E">
        <w:rPr>
          <w:rFonts w:eastAsiaTheme="minorHAnsi"/>
        </w:rPr>
        <w:t>Вожда Карађорђа задржава се постојећа зелена површина са спомеником. У склопу пешачке</w:t>
      </w:r>
      <w:r>
        <w:rPr>
          <w:rFonts w:eastAsiaTheme="minorHAnsi"/>
        </w:rPr>
        <w:t xml:space="preserve"> </w:t>
      </w:r>
      <w:r w:rsidRPr="006B6D1E">
        <w:rPr>
          <w:rFonts w:eastAsiaTheme="minorHAnsi"/>
        </w:rPr>
        <w:t>комуникације са северне стране предвиђено је поплочавање бетонским плочама и гранитним</w:t>
      </w:r>
      <w:r>
        <w:rPr>
          <w:rFonts w:eastAsiaTheme="minorHAnsi"/>
        </w:rPr>
        <w:t xml:space="preserve"> </w:t>
      </w:r>
      <w:r w:rsidRPr="006B6D1E">
        <w:rPr>
          <w:rFonts w:eastAsiaTheme="minorHAnsi"/>
        </w:rPr>
        <w:t>коцкама у делу пешачке стазе, док је у јужном делу предвиђено само поплочавање бетонским</w:t>
      </w:r>
      <w:r>
        <w:rPr>
          <w:rFonts w:eastAsiaTheme="minorHAnsi"/>
        </w:rPr>
        <w:t xml:space="preserve"> </w:t>
      </w:r>
      <w:r w:rsidRPr="006B6D1E">
        <w:rPr>
          <w:rFonts w:eastAsiaTheme="minorHAnsi"/>
        </w:rPr>
        <w:t>коцкама.</w:t>
      </w:r>
    </w:p>
    <w:p w:rsidR="006B6D1E" w:rsidRPr="006B6D1E" w:rsidRDefault="006B6D1E" w:rsidP="006B6D1E">
      <w:pPr>
        <w:rPr>
          <w:rFonts w:eastAsiaTheme="minorHAnsi"/>
        </w:rPr>
      </w:pPr>
    </w:p>
    <w:p w:rsidR="006B6D1E" w:rsidRDefault="006B6D1E" w:rsidP="006B6D1E">
      <w:pPr>
        <w:rPr>
          <w:rFonts w:eastAsiaTheme="minorHAnsi"/>
        </w:rPr>
      </w:pPr>
      <w:r w:rsidRPr="006B6D1E">
        <w:rPr>
          <w:rFonts w:eastAsiaTheme="minorHAnsi"/>
        </w:rPr>
        <w:t>Кроз комплетну целину а провучена је меморијална пешачка стаза од гранитних коцки, која води</w:t>
      </w:r>
      <w:r w:rsidR="00DA6832">
        <w:rPr>
          <w:rFonts w:eastAsiaTheme="minorHAnsi"/>
        </w:rPr>
        <w:t xml:space="preserve"> </w:t>
      </w:r>
      <w:r w:rsidRPr="006B6D1E">
        <w:rPr>
          <w:rFonts w:eastAsiaTheme="minorHAnsi"/>
        </w:rPr>
        <w:t>корисника кроз историју Тополе. Уз ову стазу, на појединим одговарајућим локацијама, постављене</w:t>
      </w:r>
      <w:r w:rsidR="00DA6832">
        <w:rPr>
          <w:rFonts w:eastAsiaTheme="minorHAnsi"/>
        </w:rPr>
        <w:t xml:space="preserve"> </w:t>
      </w:r>
      <w:r w:rsidRPr="006B6D1E">
        <w:rPr>
          <w:rFonts w:eastAsiaTheme="minorHAnsi"/>
        </w:rPr>
        <w:t>су инфо табле и клупе, и на тај начин су формирана места за одмор, социјализацију и едукацију.</w:t>
      </w:r>
    </w:p>
    <w:p w:rsidR="00DA6832" w:rsidRPr="006B6D1E" w:rsidRDefault="00DA6832" w:rsidP="006B6D1E">
      <w:pPr>
        <w:rPr>
          <w:rFonts w:eastAsiaTheme="minorHAnsi"/>
        </w:rPr>
      </w:pPr>
    </w:p>
    <w:p w:rsidR="006B6D1E" w:rsidRDefault="006B6D1E" w:rsidP="006B6D1E">
      <w:pPr>
        <w:rPr>
          <w:rFonts w:eastAsiaTheme="minorHAnsi"/>
        </w:rPr>
      </w:pPr>
      <w:r w:rsidRPr="006B6D1E">
        <w:rPr>
          <w:rFonts w:eastAsiaTheme="minorHAnsi"/>
        </w:rPr>
        <w:t>Комплетно решење пројектовано је у складу са Правилником о техничким стандардима планирања,</w:t>
      </w:r>
      <w:r w:rsidR="00DA6832">
        <w:rPr>
          <w:rFonts w:eastAsiaTheme="minorHAnsi"/>
        </w:rPr>
        <w:t xml:space="preserve"> </w:t>
      </w:r>
      <w:r w:rsidRPr="006B6D1E">
        <w:rPr>
          <w:rFonts w:eastAsiaTheme="minorHAnsi"/>
        </w:rPr>
        <w:t>пројектовања и изградње објеката, којима се осигурава несметано кретање и приступ особама са</w:t>
      </w:r>
      <w:r w:rsidR="00DA6832">
        <w:rPr>
          <w:rFonts w:eastAsiaTheme="minorHAnsi"/>
        </w:rPr>
        <w:t xml:space="preserve"> </w:t>
      </w:r>
      <w:r w:rsidRPr="006B6D1E">
        <w:rPr>
          <w:rFonts w:eastAsiaTheme="minorHAnsi"/>
        </w:rPr>
        <w:t>инвалидитетом, деци и старим особама („Сл. Гласник РС“, бр. 22/2015). Сви тротоари и пешачке</w:t>
      </w:r>
      <w:r w:rsidR="00DA6832">
        <w:rPr>
          <w:rFonts w:eastAsiaTheme="minorHAnsi"/>
        </w:rPr>
        <w:t xml:space="preserve"> </w:t>
      </w:r>
      <w:r w:rsidRPr="006B6D1E">
        <w:rPr>
          <w:rFonts w:eastAsiaTheme="minorHAnsi"/>
        </w:rPr>
        <w:t>стазе прилагођени су одредбама овог правилника. Тактилна поља безбедности постављена су</w:t>
      </w:r>
      <w:r w:rsidR="00DA6832">
        <w:rPr>
          <w:rFonts w:eastAsiaTheme="minorHAnsi"/>
        </w:rPr>
        <w:t xml:space="preserve"> </w:t>
      </w:r>
      <w:r w:rsidRPr="006B6D1E">
        <w:rPr>
          <w:rFonts w:eastAsiaTheme="minorHAnsi"/>
        </w:rPr>
        <w:t>испред свих опасних зона, укључујући и пешачке прелазе, као и на местима промене правца. Дуж</w:t>
      </w:r>
      <w:r w:rsidR="00DA6832">
        <w:rPr>
          <w:rFonts w:eastAsiaTheme="minorHAnsi"/>
        </w:rPr>
        <w:t xml:space="preserve"> </w:t>
      </w:r>
      <w:r w:rsidRPr="006B6D1E">
        <w:rPr>
          <w:rFonts w:eastAsiaTheme="minorHAnsi"/>
        </w:rPr>
        <w:t>главних комуникационих праваца постављају се тактилне стазе водиље.</w:t>
      </w:r>
    </w:p>
    <w:p w:rsidR="00DA6832" w:rsidRPr="006B6D1E" w:rsidRDefault="00DA6832" w:rsidP="006B6D1E">
      <w:pPr>
        <w:rPr>
          <w:rFonts w:eastAsiaTheme="minorHAnsi"/>
        </w:rPr>
      </w:pPr>
    </w:p>
    <w:p w:rsidR="006B6D1E" w:rsidRDefault="006B6D1E" w:rsidP="006B6D1E">
      <w:pPr>
        <w:rPr>
          <w:rFonts w:eastAsiaTheme="minorHAnsi"/>
        </w:rPr>
      </w:pPr>
      <w:r w:rsidRPr="006B6D1E">
        <w:rPr>
          <w:rFonts w:eastAsiaTheme="minorHAnsi"/>
        </w:rPr>
        <w:t>Функционално решење је усклађено са Пројектом саобраћаја и саобраћајне сигнализације јавних и</w:t>
      </w:r>
      <w:r w:rsidR="00DA6832">
        <w:rPr>
          <w:rFonts w:eastAsiaTheme="minorHAnsi"/>
        </w:rPr>
        <w:t xml:space="preserve"> </w:t>
      </w:r>
      <w:r w:rsidRPr="006B6D1E">
        <w:rPr>
          <w:rFonts w:eastAsiaTheme="minorHAnsi"/>
        </w:rPr>
        <w:t>осталих паркиралишта у насељеном месту Топола (варош), бр. ГС-1282м од септембра 2021. године,</w:t>
      </w:r>
      <w:r w:rsidR="00DA6832">
        <w:rPr>
          <w:rFonts w:eastAsiaTheme="minorHAnsi"/>
        </w:rPr>
        <w:t xml:space="preserve"> </w:t>
      </w:r>
      <w:r w:rsidRPr="006B6D1E">
        <w:rPr>
          <w:rFonts w:eastAsiaTheme="minorHAnsi"/>
        </w:rPr>
        <w:t>израђеним од стране ГМП Грамонт-НС д.о.о. Са северне стране булевара, у склопу подцелине 1.1,</w:t>
      </w:r>
      <w:r w:rsidR="00DA6832">
        <w:rPr>
          <w:rFonts w:eastAsiaTheme="minorHAnsi"/>
        </w:rPr>
        <w:t xml:space="preserve"> </w:t>
      </w:r>
      <w:r w:rsidRPr="006B6D1E">
        <w:rPr>
          <w:rFonts w:eastAsiaTheme="minorHAnsi"/>
        </w:rPr>
        <w:t>задржан је одређени број паркинг места која нису дата у склопу наведеног пројекта, а која су</w:t>
      </w:r>
      <w:r w:rsidR="00DA6832">
        <w:rPr>
          <w:rFonts w:eastAsiaTheme="minorHAnsi"/>
        </w:rPr>
        <w:t xml:space="preserve"> </w:t>
      </w:r>
      <w:r w:rsidRPr="006B6D1E">
        <w:rPr>
          <w:rFonts w:eastAsiaTheme="minorHAnsi"/>
        </w:rPr>
        <w:t>постављена под углом од 60 степени у односу на коловоз. У наведеном пројекту саобраћаја и</w:t>
      </w:r>
      <w:r w:rsidR="00DA6832">
        <w:rPr>
          <w:rFonts w:eastAsiaTheme="minorHAnsi"/>
        </w:rPr>
        <w:t xml:space="preserve"> </w:t>
      </w:r>
      <w:r w:rsidRPr="006B6D1E">
        <w:rPr>
          <w:rFonts w:eastAsiaTheme="minorHAnsi"/>
        </w:rPr>
        <w:t>саобраћајне сигнализације са јужне стране булевара дат је одређени број паркинг места за управно</w:t>
      </w:r>
      <w:r w:rsidR="00DA6832">
        <w:rPr>
          <w:rFonts w:eastAsiaTheme="minorHAnsi"/>
        </w:rPr>
        <w:t xml:space="preserve"> </w:t>
      </w:r>
      <w:r w:rsidRPr="006B6D1E">
        <w:rPr>
          <w:rFonts w:eastAsiaTheme="minorHAnsi"/>
        </w:rPr>
        <w:t>паркирање. Овакво решење је задржано, у складу са нсведеним пројектом и захтевима</w:t>
      </w:r>
      <w:r w:rsidR="00DA6832">
        <w:rPr>
          <w:rFonts w:eastAsiaTheme="minorHAnsi"/>
        </w:rPr>
        <w:t xml:space="preserve"> </w:t>
      </w:r>
      <w:r w:rsidRPr="006B6D1E">
        <w:rPr>
          <w:rFonts w:eastAsiaTheme="minorHAnsi"/>
        </w:rPr>
        <w:t>инвеститора.</w:t>
      </w:r>
    </w:p>
    <w:p w:rsidR="00DA6832" w:rsidRPr="006B6D1E" w:rsidRDefault="00DA6832" w:rsidP="006B6D1E">
      <w:pPr>
        <w:rPr>
          <w:rFonts w:eastAsiaTheme="minorHAnsi"/>
        </w:rPr>
      </w:pPr>
    </w:p>
    <w:p w:rsidR="006B6D1E" w:rsidRDefault="006B6D1E" w:rsidP="006B6D1E">
      <w:pPr>
        <w:rPr>
          <w:rFonts w:eastAsiaTheme="minorHAnsi"/>
        </w:rPr>
      </w:pPr>
      <w:r w:rsidRPr="006B6D1E">
        <w:rPr>
          <w:rFonts w:eastAsiaTheme="minorHAnsi"/>
        </w:rPr>
        <w:t>По захтеву инвеститора, решење је усклађено и са Програмом постављања мањих монтажних</w:t>
      </w:r>
      <w:r w:rsidR="00DA6832">
        <w:rPr>
          <w:rFonts w:eastAsiaTheme="minorHAnsi"/>
        </w:rPr>
        <w:t xml:space="preserve"> </w:t>
      </w:r>
      <w:r w:rsidRPr="006B6D1E">
        <w:rPr>
          <w:rFonts w:eastAsiaTheme="minorHAnsi"/>
        </w:rPr>
        <w:t>објеката и башти угоститељских објеката на територији општине Топола из јула 2021. године, који је</w:t>
      </w:r>
      <w:r w:rsidR="00DA6832">
        <w:rPr>
          <w:rFonts w:eastAsiaTheme="minorHAnsi"/>
        </w:rPr>
        <w:t xml:space="preserve"> </w:t>
      </w:r>
      <w:r w:rsidRPr="006B6D1E">
        <w:rPr>
          <w:rFonts w:eastAsiaTheme="minorHAnsi"/>
        </w:rPr>
        <w:t>израђен од стране Архитектонско пројектног бироа „Биро 33“, Младеновац.</w:t>
      </w:r>
    </w:p>
    <w:p w:rsidR="00DA6832" w:rsidRDefault="00DA6832" w:rsidP="006B6D1E">
      <w:pPr>
        <w:rPr>
          <w:rFonts w:eastAsiaTheme="minorHAnsi"/>
        </w:rPr>
      </w:pPr>
    </w:p>
    <w:p w:rsidR="00322EEC" w:rsidRPr="006B6D1E" w:rsidRDefault="00322EEC" w:rsidP="006A145F">
      <w:pPr>
        <w:keepNext/>
        <w:spacing w:after="60"/>
        <w:rPr>
          <w:i/>
          <w:iCs/>
        </w:rPr>
      </w:pPr>
      <w:r w:rsidRPr="006B6D1E">
        <w:rPr>
          <w:i/>
          <w:iCs/>
        </w:rPr>
        <w:t>Нивелационо решење</w:t>
      </w:r>
    </w:p>
    <w:p w:rsidR="00322EEC" w:rsidRPr="006B6D1E" w:rsidRDefault="00322EEC" w:rsidP="00961AB2">
      <w:r w:rsidRPr="006B6D1E">
        <w:t>Нивелационо решење условљено је нивелетама изграђених саобраћајница, као и котама улаза у</w:t>
      </w:r>
      <w:r w:rsidR="00961AB2" w:rsidRPr="006B6D1E">
        <w:t xml:space="preserve"> </w:t>
      </w:r>
      <w:r w:rsidRPr="006B6D1E">
        <w:t>објекте. Нивелационо решење је урађено тако да се све воде усмере ка каналима за</w:t>
      </w:r>
      <w:r w:rsidR="00961AB2" w:rsidRPr="006B6D1E">
        <w:t xml:space="preserve"> </w:t>
      </w:r>
      <w:r w:rsidRPr="006B6D1E">
        <w:t xml:space="preserve">одводњавање и зеленилу. Попречни падови се крећу од мин 0,5-2%. </w:t>
      </w:r>
    </w:p>
    <w:p w:rsidR="00322EEC" w:rsidRDefault="00322EEC" w:rsidP="00961AB2"/>
    <w:p w:rsidR="00322EEC" w:rsidRPr="006B6D1E" w:rsidRDefault="00322EEC" w:rsidP="006A145F">
      <w:pPr>
        <w:keepNext/>
        <w:spacing w:after="60"/>
        <w:rPr>
          <w:i/>
          <w:iCs/>
        </w:rPr>
      </w:pPr>
      <w:r w:rsidRPr="006B6D1E">
        <w:rPr>
          <w:i/>
          <w:iCs/>
        </w:rPr>
        <w:lastRenderedPageBreak/>
        <w:t>Материјализација</w:t>
      </w:r>
    </w:p>
    <w:p w:rsidR="00322EEC" w:rsidRPr="006B6D1E" w:rsidRDefault="00322EEC" w:rsidP="00961AB2">
      <w:r w:rsidRPr="006B6D1E">
        <w:t>Конструкција на паркинг местима је састављена из следећих слојева:</w:t>
      </w:r>
    </w:p>
    <w:p w:rsidR="00322EEC" w:rsidRPr="006B6D1E" w:rsidRDefault="00322EEC" w:rsidP="00961AB2">
      <w:r w:rsidRPr="006B6D1E">
        <w:t>- тампонски слој д=30 цм</w:t>
      </w:r>
    </w:p>
    <w:p w:rsidR="00322EEC" w:rsidRPr="006B6D1E" w:rsidRDefault="00322EEC" w:rsidP="00961AB2">
      <w:r w:rsidRPr="006B6D1E">
        <w:t>- песак 4-8мм д=5 цм</w:t>
      </w:r>
    </w:p>
    <w:p w:rsidR="00322EEC" w:rsidRPr="006B6D1E" w:rsidRDefault="00322EEC" w:rsidP="00961AB2">
      <w:r w:rsidRPr="006B6D1E">
        <w:t>- растер плоче д=10 цм</w:t>
      </w:r>
    </w:p>
    <w:p w:rsidR="00322EEC" w:rsidRPr="006B6D1E" w:rsidRDefault="00322EEC" w:rsidP="00961AB2">
      <w:r w:rsidRPr="006B6D1E">
        <w:t>Укупна дебљина конструкције д=45цм</w:t>
      </w:r>
    </w:p>
    <w:p w:rsidR="00961AB2" w:rsidRPr="006B6D1E" w:rsidRDefault="00961AB2" w:rsidP="00961AB2"/>
    <w:p w:rsidR="00322EEC" w:rsidRPr="006B6D1E" w:rsidRDefault="00322EEC" w:rsidP="00961AB2">
      <w:r w:rsidRPr="006B6D1E">
        <w:t>Конструкција на пешачким површинама је састављена из следећих слојева:</w:t>
      </w:r>
    </w:p>
    <w:p w:rsidR="00322EEC" w:rsidRPr="006B6D1E" w:rsidRDefault="00322EEC" w:rsidP="00961AB2">
      <w:r w:rsidRPr="006B6D1E">
        <w:t>- тампон од шљунковито песковитог материјала у дебљини д=20цм</w:t>
      </w:r>
    </w:p>
    <w:p w:rsidR="00322EEC" w:rsidRPr="006B6D1E" w:rsidRDefault="00322EEC" w:rsidP="00961AB2">
      <w:r w:rsidRPr="006B6D1E">
        <w:t>- дробљени камени агрегат од 0-31,5mm у дебљини д=10цм</w:t>
      </w:r>
    </w:p>
    <w:p w:rsidR="00322EEC" w:rsidRPr="006B6D1E" w:rsidRDefault="00322EEC" w:rsidP="00961AB2">
      <w:r w:rsidRPr="006B6D1E">
        <w:t>- песак 4-8мм д=5цм</w:t>
      </w:r>
    </w:p>
    <w:p w:rsidR="00322EEC" w:rsidRPr="006B6D1E" w:rsidRDefault="00322EEC" w:rsidP="00961AB2">
      <w:r w:rsidRPr="006B6D1E">
        <w:t>- бетонске плоче д=8цм</w:t>
      </w:r>
    </w:p>
    <w:p w:rsidR="00322EEC" w:rsidRPr="006B6D1E" w:rsidRDefault="00322EEC" w:rsidP="00961AB2">
      <w:r w:rsidRPr="006B6D1E">
        <w:t>Укупна дебљина конструкције д=36цм</w:t>
      </w:r>
    </w:p>
    <w:p w:rsidR="00961AB2" w:rsidRPr="006B6D1E" w:rsidRDefault="00961AB2" w:rsidP="00961AB2"/>
    <w:p w:rsidR="00322EEC" w:rsidRPr="006B6D1E" w:rsidRDefault="00322EEC" w:rsidP="00961AB2">
      <w:r w:rsidRPr="006B6D1E">
        <w:t>За оивичење саобраћајница и паркиралишних површина предвиђено је оивичење бетонским</w:t>
      </w:r>
      <w:r w:rsidR="00C8767C" w:rsidRPr="006B6D1E">
        <w:t xml:space="preserve"> </w:t>
      </w:r>
      <w:r w:rsidRPr="006B6D1E">
        <w:t>ивичњаком 24/18/80цм, а оивичење пешачких стаза бетонским ивичњаком 12/18/80цм</w:t>
      </w:r>
      <w:r w:rsidR="00C8767C" w:rsidRPr="006B6D1E">
        <w:t xml:space="preserve"> </w:t>
      </w:r>
      <w:r w:rsidRPr="006B6D1E">
        <w:t>постављеним на бетонској подлози МБ20. Ивичњаци су оборени према зеленилу. У делу</w:t>
      </w:r>
      <w:r w:rsidR="00C8767C" w:rsidRPr="006B6D1E">
        <w:t xml:space="preserve"> </w:t>
      </w:r>
      <w:r w:rsidRPr="006B6D1E">
        <w:t>паркинг места предвиђени су оборени ивичњаци.</w:t>
      </w:r>
      <w:r w:rsidR="00AC26C0">
        <w:t xml:space="preserve"> </w:t>
      </w:r>
      <w:r w:rsidRPr="006B6D1E">
        <w:t>Пешачке стазе поплочане су бетонским плочама типа Линеа Арт или сличним. У склопу</w:t>
      </w:r>
      <w:r w:rsidR="00C8767C" w:rsidRPr="006B6D1E">
        <w:t xml:space="preserve"> </w:t>
      </w:r>
      <w:r w:rsidRPr="006B6D1E">
        <w:t>пешачких комуникације предвиђена је и стаза од гранитних коцки 10x10x10цм, која симболише</w:t>
      </w:r>
      <w:r w:rsidR="00C8767C" w:rsidRPr="006B6D1E">
        <w:t xml:space="preserve"> </w:t>
      </w:r>
      <w:r w:rsidRPr="006B6D1E">
        <w:t>кретање кроз време и историју Тополе.</w:t>
      </w:r>
      <w:r w:rsidR="00816567">
        <w:t xml:space="preserve"> </w:t>
      </w:r>
      <w:r w:rsidRPr="006B6D1E">
        <w:t>Простор за паркирање обрађен је растер плочама д=10цм, осим простора за паркирање особа</w:t>
      </w:r>
      <w:r w:rsidR="00C8767C" w:rsidRPr="006B6D1E">
        <w:t xml:space="preserve"> </w:t>
      </w:r>
      <w:r w:rsidRPr="006B6D1E">
        <w:t>са инвалидитетом, где су предвиђене бетонске плоче.</w:t>
      </w:r>
      <w:r w:rsidR="00816567">
        <w:t xml:space="preserve"> </w:t>
      </w:r>
      <w:r w:rsidRPr="006B6D1E">
        <w:t>Мобилијар је предвиђен као комбинација кортен челика и дрвета, заштићеног одговарајућим</w:t>
      </w:r>
      <w:r w:rsidR="00C8767C" w:rsidRPr="006B6D1E">
        <w:t xml:space="preserve"> </w:t>
      </w:r>
      <w:r w:rsidRPr="006B6D1E">
        <w:t>премазом за спољашње атмосферске услове.</w:t>
      </w:r>
    </w:p>
    <w:p w:rsidR="00961AB2" w:rsidRDefault="00961AB2" w:rsidP="00961AB2"/>
    <w:p w:rsidR="00322EEC" w:rsidRPr="006B6D1E" w:rsidRDefault="00961AB2" w:rsidP="006A145F">
      <w:pPr>
        <w:keepNext/>
        <w:spacing w:after="60"/>
        <w:rPr>
          <w:u w:val="single"/>
        </w:rPr>
      </w:pPr>
      <w:r w:rsidRPr="006B6D1E">
        <w:rPr>
          <w:u w:val="single"/>
        </w:rPr>
        <w:t>Целина 2</w:t>
      </w:r>
    </w:p>
    <w:p w:rsidR="00322EEC" w:rsidRPr="006B6D1E" w:rsidRDefault="00322EEC" w:rsidP="006A145F">
      <w:pPr>
        <w:keepNext/>
        <w:spacing w:after="60"/>
        <w:rPr>
          <w:i/>
          <w:iCs/>
        </w:rPr>
      </w:pPr>
      <w:r w:rsidRPr="006B6D1E">
        <w:rPr>
          <w:i/>
          <w:iCs/>
        </w:rPr>
        <w:t>Функционално и регулационо решење</w:t>
      </w:r>
    </w:p>
    <w:p w:rsidR="00322EEC" w:rsidRPr="006B6D1E" w:rsidRDefault="00322EEC" w:rsidP="00961AB2">
      <w:r w:rsidRPr="006B6D1E">
        <w:t xml:space="preserve">Предметни простор у </w:t>
      </w:r>
      <w:r w:rsidR="00642581">
        <w:t xml:space="preserve">постојећем стању је у </w:t>
      </w:r>
      <w:r w:rsidRPr="006B6D1E">
        <w:t>функцији неуређеног паркинг простора. Планираном</w:t>
      </w:r>
      <w:r w:rsidR="00C8767C" w:rsidRPr="006B6D1E">
        <w:t xml:space="preserve"> </w:t>
      </w:r>
      <w:r w:rsidRPr="006B6D1E">
        <w:t>интервенцијом простор се уређује. Формира се паркинг мест</w:t>
      </w:r>
      <w:r w:rsidR="00642581">
        <w:t>а</w:t>
      </w:r>
      <w:r w:rsidRPr="006B6D1E">
        <w:t>, од чега два за особе са</w:t>
      </w:r>
      <w:r w:rsidR="00C8767C" w:rsidRPr="006B6D1E">
        <w:t xml:space="preserve"> </w:t>
      </w:r>
      <w:r w:rsidRPr="006B6D1E">
        <w:t>посебним потребама, као и зелене површине</w:t>
      </w:r>
      <w:r w:rsidR="00642581">
        <w:t xml:space="preserve">, </w:t>
      </w:r>
      <w:r w:rsidRPr="006B6D1E">
        <w:t>стаза према спорској сали, са</w:t>
      </w:r>
      <w:r w:rsidR="00C8767C" w:rsidRPr="006B6D1E">
        <w:t xml:space="preserve"> </w:t>
      </w:r>
      <w:r w:rsidRPr="006B6D1E">
        <w:t>степеништем које савлађује денивелацију између простора паркинга и сале. Главни колски</w:t>
      </w:r>
      <w:r w:rsidR="00C8767C" w:rsidRPr="006B6D1E">
        <w:t xml:space="preserve"> </w:t>
      </w:r>
      <w:r w:rsidRPr="006B6D1E">
        <w:t>прилаз предвиђен је са југозападне стране, са улице Мије Тодоровића.</w:t>
      </w:r>
      <w:r w:rsidR="00C8767C" w:rsidRPr="006B6D1E">
        <w:t xml:space="preserve"> </w:t>
      </w:r>
      <w:r w:rsidRPr="006B6D1E">
        <w:t>За приступ објекту школе са новоформираног паркинга пројектована је нова рампа за приступ</w:t>
      </w:r>
      <w:r w:rsidR="00C8767C" w:rsidRPr="006B6D1E">
        <w:t xml:space="preserve"> </w:t>
      </w:r>
      <w:r w:rsidRPr="006B6D1E">
        <w:t>особа са инвалидитетом.</w:t>
      </w:r>
    </w:p>
    <w:p w:rsidR="00961AB2" w:rsidRPr="006B6D1E" w:rsidRDefault="00961AB2" w:rsidP="00961AB2"/>
    <w:p w:rsidR="00322EEC" w:rsidRPr="006B6D1E" w:rsidRDefault="00322EEC" w:rsidP="006A145F">
      <w:pPr>
        <w:keepNext/>
        <w:spacing w:after="60"/>
        <w:rPr>
          <w:i/>
          <w:iCs/>
        </w:rPr>
      </w:pPr>
      <w:r w:rsidRPr="006B6D1E">
        <w:rPr>
          <w:i/>
          <w:iCs/>
        </w:rPr>
        <w:t>Нивелационо решење</w:t>
      </w:r>
    </w:p>
    <w:p w:rsidR="00322EEC" w:rsidRPr="006B6D1E" w:rsidRDefault="00322EEC" w:rsidP="00961AB2">
      <w:r w:rsidRPr="006B6D1E">
        <w:t>Нивелационо решење условљено је нивелетама изграђених саобраћајница – приступа из улице</w:t>
      </w:r>
      <w:r w:rsidR="00C8767C" w:rsidRPr="006B6D1E">
        <w:t xml:space="preserve"> </w:t>
      </w:r>
      <w:r w:rsidRPr="006B6D1E">
        <w:t>Мије Тодоровића, као и постојеих улаза у школу и кота терена. Нивелационо решење је</w:t>
      </w:r>
      <w:r w:rsidR="00C8767C" w:rsidRPr="006B6D1E">
        <w:t xml:space="preserve"> </w:t>
      </w:r>
      <w:r w:rsidRPr="006B6D1E">
        <w:t>урађено тако да се све воде усмере ка каналима за одводњавање и зеленилу. Попречни</w:t>
      </w:r>
      <w:r w:rsidR="00C8767C" w:rsidRPr="006B6D1E">
        <w:t xml:space="preserve"> </w:t>
      </w:r>
      <w:r w:rsidRPr="006B6D1E">
        <w:t xml:space="preserve">падови се крећу од мин 0,5-2%. </w:t>
      </w:r>
    </w:p>
    <w:p w:rsidR="00961AB2" w:rsidRPr="006B6D1E" w:rsidRDefault="00961AB2" w:rsidP="00961AB2"/>
    <w:p w:rsidR="00322EEC" w:rsidRPr="006B6D1E" w:rsidRDefault="00322EEC" w:rsidP="006A145F">
      <w:pPr>
        <w:keepNext/>
        <w:spacing w:after="60"/>
        <w:rPr>
          <w:i/>
          <w:iCs/>
        </w:rPr>
      </w:pPr>
      <w:r w:rsidRPr="006B6D1E">
        <w:rPr>
          <w:i/>
          <w:iCs/>
        </w:rPr>
        <w:t>Материјализација</w:t>
      </w:r>
    </w:p>
    <w:p w:rsidR="00322EEC" w:rsidRPr="006B6D1E" w:rsidRDefault="00322EEC" w:rsidP="00961AB2">
      <w:r w:rsidRPr="006B6D1E">
        <w:t>Конструкција на паркинг простору је састављена из следећих слојева:</w:t>
      </w:r>
    </w:p>
    <w:p w:rsidR="00322EEC" w:rsidRPr="006B6D1E" w:rsidRDefault="00322EEC" w:rsidP="00961AB2">
      <w:r w:rsidRPr="006B6D1E">
        <w:t>- тампон од шљунковито песковитог материјала у дебљини д=20цм</w:t>
      </w:r>
    </w:p>
    <w:p w:rsidR="00322EEC" w:rsidRPr="006B6D1E" w:rsidRDefault="00322EEC" w:rsidP="00961AB2">
      <w:r w:rsidRPr="006B6D1E">
        <w:t>- дробљени камени агрегат од 0-31,5mm у дебљини д=10цм</w:t>
      </w:r>
    </w:p>
    <w:p w:rsidR="00322EEC" w:rsidRPr="006B6D1E" w:rsidRDefault="00322EEC" w:rsidP="00961AB2">
      <w:r w:rsidRPr="006B6D1E">
        <w:t>- песак 4-8мм д=5цм</w:t>
      </w:r>
    </w:p>
    <w:p w:rsidR="00322EEC" w:rsidRPr="006B6D1E" w:rsidRDefault="00322EEC" w:rsidP="00961AB2">
      <w:r w:rsidRPr="006B6D1E">
        <w:t>- бетонске плоче д=10цм</w:t>
      </w:r>
    </w:p>
    <w:p w:rsidR="00322EEC" w:rsidRPr="006B6D1E" w:rsidRDefault="00322EEC" w:rsidP="00961AB2">
      <w:r w:rsidRPr="006B6D1E">
        <w:t>Укупна дебљина конструкције д=45цм</w:t>
      </w:r>
    </w:p>
    <w:p w:rsidR="00C8767C" w:rsidRPr="006B6D1E" w:rsidRDefault="00C8767C" w:rsidP="00961AB2"/>
    <w:p w:rsidR="00322EEC" w:rsidRPr="006B6D1E" w:rsidRDefault="00322EEC" w:rsidP="00961AB2">
      <w:r w:rsidRPr="006B6D1E">
        <w:t>Предвиђено је оивичење бетонским ивичњаком 24/18/80цм постављеним на бетонској</w:t>
      </w:r>
      <w:r w:rsidR="00C8767C" w:rsidRPr="006B6D1E">
        <w:t xml:space="preserve"> </w:t>
      </w:r>
      <w:r w:rsidRPr="006B6D1E">
        <w:t>подлози МБ20. Паркинг простор је поплочан бетонским плочама типа klasik, дупло Т, димензија</w:t>
      </w:r>
      <w:r w:rsidR="00C8767C" w:rsidRPr="006B6D1E">
        <w:t xml:space="preserve"> </w:t>
      </w:r>
      <w:r w:rsidRPr="006B6D1E">
        <w:t>20x16.5цм, дебљине 10цм или сличним.</w:t>
      </w:r>
    </w:p>
    <w:p w:rsidR="00961AB2" w:rsidRPr="006B6D1E" w:rsidRDefault="00961AB2" w:rsidP="00961AB2"/>
    <w:p w:rsidR="00FA75A6" w:rsidRPr="00642581" w:rsidRDefault="00FA75A6" w:rsidP="006A145F">
      <w:pPr>
        <w:keepNext/>
        <w:spacing w:after="60"/>
        <w:rPr>
          <w:iCs/>
          <w:u w:val="single"/>
        </w:rPr>
      </w:pPr>
      <w:r w:rsidRPr="00642581">
        <w:rPr>
          <w:iCs/>
          <w:u w:val="single"/>
        </w:rPr>
        <w:t>Озелењавање (целине 1 и 2)</w:t>
      </w:r>
    </w:p>
    <w:p w:rsidR="00322EEC" w:rsidRPr="006B6D1E" w:rsidRDefault="00642581" w:rsidP="00961AB2">
      <w:pPr>
        <w:rPr>
          <w:highlight w:val="yellow"/>
        </w:rPr>
      </w:pPr>
      <w:r w:rsidRPr="000F68B6">
        <w:rPr>
          <w:rFonts w:eastAsiaTheme="minorHAnsi"/>
        </w:rPr>
        <w:t>Решењем озелењавања је естетски заокружена целина и оплемењен простор. Поред естетике</w:t>
      </w:r>
      <w:r>
        <w:rPr>
          <w:rFonts w:eastAsiaTheme="minorHAnsi"/>
        </w:rPr>
        <w:t xml:space="preserve"> </w:t>
      </w:r>
      <w:r w:rsidRPr="000F68B6">
        <w:rPr>
          <w:rFonts w:eastAsiaTheme="minorHAnsi"/>
        </w:rPr>
        <w:t>и технике пејзажног уређења, испоштоване су и законитости природне заједнице. Предвиђене</w:t>
      </w:r>
      <w:r>
        <w:rPr>
          <w:rFonts w:eastAsiaTheme="minorHAnsi"/>
        </w:rPr>
        <w:t xml:space="preserve"> </w:t>
      </w:r>
      <w:r w:rsidRPr="000F68B6">
        <w:rPr>
          <w:rFonts w:eastAsiaTheme="minorHAnsi"/>
        </w:rPr>
        <w:t>биљне заједнице изграђене су од високих и средње високих садница лишћарских и</w:t>
      </w:r>
      <w:r>
        <w:rPr>
          <w:rFonts w:eastAsiaTheme="minorHAnsi"/>
        </w:rPr>
        <w:t xml:space="preserve"> </w:t>
      </w:r>
      <w:r w:rsidRPr="000F68B6">
        <w:rPr>
          <w:rFonts w:eastAsiaTheme="minorHAnsi"/>
        </w:rPr>
        <w:t>четинарских врста и украсног шибља планираних садница, што је изузетно важно због</w:t>
      </w:r>
      <w:r>
        <w:rPr>
          <w:rFonts w:eastAsiaTheme="minorHAnsi"/>
        </w:rPr>
        <w:t xml:space="preserve"> </w:t>
      </w:r>
      <w:r w:rsidRPr="000F68B6">
        <w:rPr>
          <w:rFonts w:eastAsiaTheme="minorHAnsi"/>
        </w:rPr>
        <w:t>уклапања у постојећи амбијент. Такође, ове групе биљака обављају естетско-санитарну</w:t>
      </w:r>
      <w:r>
        <w:rPr>
          <w:rFonts w:eastAsiaTheme="minorHAnsi"/>
        </w:rPr>
        <w:t xml:space="preserve"> </w:t>
      </w:r>
      <w:r w:rsidRPr="000F68B6">
        <w:rPr>
          <w:rFonts w:eastAsiaTheme="minorHAnsi"/>
        </w:rPr>
        <w:t xml:space="preserve">функцију, неопходну за овакву намену. </w:t>
      </w:r>
      <w:r w:rsidRPr="000F68B6">
        <w:rPr>
          <w:rFonts w:eastAsiaTheme="minorHAnsi"/>
        </w:rPr>
        <w:lastRenderedPageBreak/>
        <w:t>Приликом обликовања групе зеленила, водило се</w:t>
      </w:r>
      <w:r>
        <w:rPr>
          <w:rFonts w:eastAsiaTheme="minorHAnsi"/>
        </w:rPr>
        <w:t xml:space="preserve"> </w:t>
      </w:r>
      <w:r w:rsidRPr="000F68B6">
        <w:rPr>
          <w:rFonts w:eastAsiaTheme="minorHAnsi"/>
        </w:rPr>
        <w:t>рачуна да зеленило доприноси стварању повољних микро климатских услова средине. Зелени</w:t>
      </w:r>
      <w:r>
        <w:rPr>
          <w:rFonts w:eastAsiaTheme="minorHAnsi"/>
        </w:rPr>
        <w:t xml:space="preserve"> </w:t>
      </w:r>
      <w:r w:rsidRPr="000F68B6">
        <w:rPr>
          <w:rFonts w:eastAsiaTheme="minorHAnsi"/>
        </w:rPr>
        <w:t>засади предвиђени су од декоративних врста. На површинама за зеленило, композиционим</w:t>
      </w:r>
      <w:r>
        <w:rPr>
          <w:rFonts w:eastAsiaTheme="minorHAnsi"/>
        </w:rPr>
        <w:t xml:space="preserve"> </w:t>
      </w:r>
      <w:r w:rsidRPr="000F68B6">
        <w:rPr>
          <w:rFonts w:eastAsiaTheme="minorHAnsi"/>
        </w:rPr>
        <w:t>решењем и избором биљних врста заокружена је целина, обликовно решење озелењавања и</w:t>
      </w:r>
      <w:r>
        <w:rPr>
          <w:rFonts w:eastAsiaTheme="minorHAnsi"/>
        </w:rPr>
        <w:t xml:space="preserve"> </w:t>
      </w:r>
      <w:r w:rsidRPr="000F68B6">
        <w:rPr>
          <w:rFonts w:eastAsiaTheme="minorHAnsi"/>
        </w:rPr>
        <w:t>естетски је оплемењен простор. Постојеће саднице високог зеленила се задржавају</w:t>
      </w:r>
      <w:r w:rsidR="003C10D9">
        <w:rPr>
          <w:rFonts w:eastAsiaTheme="minorHAnsi"/>
        </w:rPr>
        <w:t>.</w:t>
      </w:r>
    </w:p>
    <w:sectPr w:rsidR="00322EEC" w:rsidRPr="006B6D1E" w:rsidSect="006068CA">
      <w:footerReference w:type="default" r:id="rId9"/>
      <w:pgSz w:w="11906" w:h="16838" w:code="9"/>
      <w:pgMar w:top="1134" w:right="1134" w:bottom="1134" w:left="1134"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DC" w:rsidRDefault="00BF02DC">
      <w:r>
        <w:separator/>
      </w:r>
    </w:p>
  </w:endnote>
  <w:endnote w:type="continuationSeparator" w:id="0">
    <w:p w:rsidR="00BF02DC" w:rsidRDefault="00BF0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003680"/>
      <w:docPartObj>
        <w:docPartGallery w:val="Page Numbers (Bottom of Page)"/>
        <w:docPartUnique/>
      </w:docPartObj>
    </w:sdtPr>
    <w:sdtEndPr>
      <w:rPr>
        <w:noProof/>
      </w:rPr>
    </w:sdtEndPr>
    <w:sdtContent>
      <w:p w:rsidR="004776AA" w:rsidRDefault="00863437" w:rsidP="004776AA">
        <w:pPr>
          <w:pStyle w:val="Footer"/>
          <w:jc w:val="right"/>
        </w:pPr>
        <w:r>
          <w:fldChar w:fldCharType="begin"/>
        </w:r>
        <w:r w:rsidR="004776AA">
          <w:instrText xml:space="preserve"> PAGE   \* MERGEFORMAT </w:instrText>
        </w:r>
        <w:r>
          <w:fldChar w:fldCharType="separate"/>
        </w:r>
        <w:r w:rsidR="002E413A">
          <w:rPr>
            <w:noProof/>
          </w:rPr>
          <w:t>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DC" w:rsidRDefault="00BF02DC">
      <w:r>
        <w:separator/>
      </w:r>
    </w:p>
  </w:footnote>
  <w:footnote w:type="continuationSeparator" w:id="0">
    <w:p w:rsidR="00BF02DC" w:rsidRDefault="00BF0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17D"/>
    <w:multiLevelType w:val="hybridMultilevel"/>
    <w:tmpl w:val="4E3E1DD6"/>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73A68"/>
    <w:multiLevelType w:val="hybridMultilevel"/>
    <w:tmpl w:val="CE1CB4B8"/>
    <w:lvl w:ilvl="0" w:tplc="218672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4A2547"/>
    <w:multiLevelType w:val="multilevel"/>
    <w:tmpl w:val="8940FC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B12FA"/>
    <w:multiLevelType w:val="hybridMultilevel"/>
    <w:tmpl w:val="491ABA0A"/>
    <w:lvl w:ilvl="0" w:tplc="010C8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D1914"/>
    <w:multiLevelType w:val="hybridMultilevel"/>
    <w:tmpl w:val="5F86F086"/>
    <w:lvl w:ilvl="0" w:tplc="05F6261E">
      <w:start w:val="1"/>
      <w:numFmt w:val="decimal"/>
      <w:pStyle w:val="Numberedparagraph"/>
      <w:lvlText w:val="%1."/>
      <w:lvlJc w:val="left"/>
      <w:pPr>
        <w:tabs>
          <w:tab w:val="num" w:pos="720"/>
        </w:tabs>
        <w:ind w:left="720" w:hanging="360"/>
      </w:pPr>
      <w:rPr>
        <w:rFonts w:ascii="Times New Roman" w:hAnsi="Times New Roman" w:cs="Times New Roman" w:hint="default"/>
        <w:b w:val="0"/>
        <w:i w:val="0"/>
        <w:color w:val="000000" w:themeColor="text1"/>
        <w:sz w:val="24"/>
        <w:szCs w:val="24"/>
      </w:rPr>
    </w:lvl>
    <w:lvl w:ilvl="1" w:tplc="EC58A2A8">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4755AB"/>
    <w:multiLevelType w:val="multilevel"/>
    <w:tmpl w:val="0B1C78BA"/>
    <w:lvl w:ilvl="0">
      <w:start w:val="1"/>
      <w:numFmt w:val="decimal"/>
      <w:lvlText w:val="%1"/>
      <w:lvlJc w:val="left"/>
      <w:pPr>
        <w:ind w:left="360" w:hanging="360"/>
      </w:pPr>
      <w:rPr>
        <w:rFonts w:hint="default"/>
      </w:rPr>
    </w:lvl>
    <w:lvl w:ilvl="1">
      <w:start w:val="1"/>
      <w:numFmt w:val="decimal"/>
      <w:lvlText w:val="%1.%2"/>
      <w:lvlJc w:val="left"/>
      <w:pPr>
        <w:ind w:left="446"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128" w:hanging="1440"/>
      </w:pPr>
      <w:rPr>
        <w:rFonts w:hint="default"/>
      </w:rPr>
    </w:lvl>
  </w:abstractNum>
  <w:abstractNum w:abstractNumId="6">
    <w:nsid w:val="132C2BE9"/>
    <w:multiLevelType w:val="hybridMultilevel"/>
    <w:tmpl w:val="B00647B2"/>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84A43"/>
    <w:multiLevelType w:val="hybridMultilevel"/>
    <w:tmpl w:val="4AC6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36A28"/>
    <w:multiLevelType w:val="hybridMultilevel"/>
    <w:tmpl w:val="C14AE826"/>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22F4A"/>
    <w:multiLevelType w:val="hybridMultilevel"/>
    <w:tmpl w:val="D63C5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114EE"/>
    <w:multiLevelType w:val="hybridMultilevel"/>
    <w:tmpl w:val="60B68EAA"/>
    <w:lvl w:ilvl="0" w:tplc="218672D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A07A53"/>
    <w:multiLevelType w:val="hybridMultilevel"/>
    <w:tmpl w:val="3926CDE2"/>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57BC9"/>
    <w:multiLevelType w:val="hybridMultilevel"/>
    <w:tmpl w:val="EE7831D4"/>
    <w:lvl w:ilvl="0" w:tplc="542207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27BE3"/>
    <w:multiLevelType w:val="hybridMultilevel"/>
    <w:tmpl w:val="755CE3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60276"/>
    <w:multiLevelType w:val="multilevel"/>
    <w:tmpl w:val="1ED8A5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0961F9A"/>
    <w:multiLevelType w:val="hybridMultilevel"/>
    <w:tmpl w:val="7870FC64"/>
    <w:lvl w:ilvl="0" w:tplc="06543A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833328"/>
    <w:multiLevelType w:val="hybridMultilevel"/>
    <w:tmpl w:val="9252C308"/>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93DAB"/>
    <w:multiLevelType w:val="multilevel"/>
    <w:tmpl w:val="FFB42136"/>
    <w:lvl w:ilvl="0">
      <w:start w:val="1"/>
      <w:numFmt w:val="decimal"/>
      <w:lvlText w:val="%1."/>
      <w:lvlJc w:val="left"/>
      <w:pPr>
        <w:tabs>
          <w:tab w:val="num" w:pos="720"/>
        </w:tabs>
        <w:ind w:left="720" w:hanging="360"/>
      </w:pPr>
    </w:lvl>
    <w:lvl w:ilvl="1">
      <w:start w:val="1"/>
      <w:numFmt w:val="upperLetter"/>
      <w:lvlText w:val="(%2)"/>
      <w:lvlJc w:val="left"/>
      <w:pPr>
        <w:ind w:left="1800" w:hanging="72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957CCC"/>
    <w:multiLevelType w:val="hybridMultilevel"/>
    <w:tmpl w:val="FD9A865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47C0E46"/>
    <w:multiLevelType w:val="hybridMultilevel"/>
    <w:tmpl w:val="BB6EF9C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2454A"/>
    <w:multiLevelType w:val="hybridMultilevel"/>
    <w:tmpl w:val="DC5C52C8"/>
    <w:lvl w:ilvl="0" w:tplc="218672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852270E"/>
    <w:multiLevelType w:val="hybridMultilevel"/>
    <w:tmpl w:val="13202FA6"/>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A05E11"/>
    <w:multiLevelType w:val="hybridMultilevel"/>
    <w:tmpl w:val="161C7EAA"/>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231E6"/>
    <w:multiLevelType w:val="hybridMultilevel"/>
    <w:tmpl w:val="58A2A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527A8"/>
    <w:multiLevelType w:val="hybridMultilevel"/>
    <w:tmpl w:val="308CCE04"/>
    <w:lvl w:ilvl="0" w:tplc="218672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8F4646"/>
    <w:multiLevelType w:val="multilevel"/>
    <w:tmpl w:val="3798324A"/>
    <w:lvl w:ilvl="0">
      <w:start w:val="1"/>
      <w:numFmt w:val="decimal"/>
      <w:lvlText w:val="%1."/>
      <w:lvlJc w:val="left"/>
      <w:pPr>
        <w:tabs>
          <w:tab w:val="num" w:pos="720"/>
        </w:tabs>
        <w:ind w:left="720" w:hanging="360"/>
      </w:pPr>
    </w:lvl>
    <w:lvl w:ilvl="1">
      <w:start w:val="1"/>
      <w:numFmt w:val="upperLetter"/>
      <w:lvlText w:val="(%2)"/>
      <w:lvlJc w:val="left"/>
      <w:pPr>
        <w:ind w:left="1800" w:hanging="72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AC2387"/>
    <w:multiLevelType w:val="hybridMultilevel"/>
    <w:tmpl w:val="4348B3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335BB2"/>
    <w:multiLevelType w:val="multilevel"/>
    <w:tmpl w:val="2284AA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8961BB4"/>
    <w:multiLevelType w:val="hybridMultilevel"/>
    <w:tmpl w:val="0F22D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B4A20"/>
    <w:multiLevelType w:val="hybridMultilevel"/>
    <w:tmpl w:val="CB6EF664"/>
    <w:lvl w:ilvl="0" w:tplc="218672D2">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BD6C46"/>
    <w:multiLevelType w:val="hybridMultilevel"/>
    <w:tmpl w:val="2460BC58"/>
    <w:lvl w:ilvl="0" w:tplc="753AB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12"/>
  </w:num>
  <w:num w:numId="8">
    <w:abstractNumId w:val="4"/>
  </w:num>
  <w:num w:numId="9">
    <w:abstractNumId w:val="25"/>
  </w:num>
  <w:num w:numId="10">
    <w:abstractNumId w:val="17"/>
  </w:num>
  <w:num w:numId="11">
    <w:abstractNumId w:val="16"/>
  </w:num>
  <w:num w:numId="12">
    <w:abstractNumId w:val="3"/>
  </w:num>
  <w:num w:numId="13">
    <w:abstractNumId w:val="7"/>
  </w:num>
  <w:num w:numId="14">
    <w:abstractNumId w:val="28"/>
  </w:num>
  <w:num w:numId="15">
    <w:abstractNumId w:val="23"/>
  </w:num>
  <w:num w:numId="16">
    <w:abstractNumId w:val="9"/>
  </w:num>
  <w:num w:numId="17">
    <w:abstractNumId w:val="26"/>
  </w:num>
  <w:num w:numId="18">
    <w:abstractNumId w:val="0"/>
  </w:num>
  <w:num w:numId="19">
    <w:abstractNumId w:val="6"/>
  </w:num>
  <w:num w:numId="20">
    <w:abstractNumId w:val="22"/>
  </w:num>
  <w:num w:numId="21">
    <w:abstractNumId w:val="21"/>
  </w:num>
  <w:num w:numId="22">
    <w:abstractNumId w:val="11"/>
  </w:num>
  <w:num w:numId="23">
    <w:abstractNumId w:val="8"/>
  </w:num>
  <w:num w:numId="24">
    <w:abstractNumId w:val="29"/>
  </w:num>
  <w:num w:numId="25">
    <w:abstractNumId w:val="19"/>
  </w:num>
  <w:num w:numId="26">
    <w:abstractNumId w:val="13"/>
  </w:num>
  <w:num w:numId="27">
    <w:abstractNumId w:val="24"/>
  </w:num>
  <w:num w:numId="28">
    <w:abstractNumId w:val="21"/>
  </w:num>
  <w:num w:numId="29">
    <w:abstractNumId w:val="10"/>
  </w:num>
  <w:num w:numId="30">
    <w:abstractNumId w:val="2"/>
  </w:num>
  <w:num w:numId="31">
    <w:abstractNumId w:val="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rc0szA2NTQztjAwsjRX0lEKTi0uzszPAykwNKkFADfqjYUtAAAA"/>
  </w:docVars>
  <w:rsids>
    <w:rsidRoot w:val="004C175E"/>
    <w:rsid w:val="0000453A"/>
    <w:rsid w:val="00005BDD"/>
    <w:rsid w:val="00006BED"/>
    <w:rsid w:val="00011608"/>
    <w:rsid w:val="00014DA5"/>
    <w:rsid w:val="000277DE"/>
    <w:rsid w:val="000278D4"/>
    <w:rsid w:val="00032D33"/>
    <w:rsid w:val="000333B2"/>
    <w:rsid w:val="000350F0"/>
    <w:rsid w:val="00036CAD"/>
    <w:rsid w:val="00037D27"/>
    <w:rsid w:val="000401CC"/>
    <w:rsid w:val="00040382"/>
    <w:rsid w:val="00043A61"/>
    <w:rsid w:val="00044B87"/>
    <w:rsid w:val="000457AF"/>
    <w:rsid w:val="0004624C"/>
    <w:rsid w:val="00052F77"/>
    <w:rsid w:val="000535F4"/>
    <w:rsid w:val="00054346"/>
    <w:rsid w:val="00054570"/>
    <w:rsid w:val="000701A4"/>
    <w:rsid w:val="00071169"/>
    <w:rsid w:val="00082154"/>
    <w:rsid w:val="00087B76"/>
    <w:rsid w:val="00094D6C"/>
    <w:rsid w:val="0009619B"/>
    <w:rsid w:val="00096915"/>
    <w:rsid w:val="000A4D9B"/>
    <w:rsid w:val="000C3BF5"/>
    <w:rsid w:val="000C67D1"/>
    <w:rsid w:val="000D0CAA"/>
    <w:rsid w:val="000D48D4"/>
    <w:rsid w:val="000D4D70"/>
    <w:rsid w:val="000E550A"/>
    <w:rsid w:val="000F06E4"/>
    <w:rsid w:val="000F68B6"/>
    <w:rsid w:val="0010012C"/>
    <w:rsid w:val="00105FFE"/>
    <w:rsid w:val="0011257D"/>
    <w:rsid w:val="001165AB"/>
    <w:rsid w:val="00121AE5"/>
    <w:rsid w:val="00140797"/>
    <w:rsid w:val="0014151D"/>
    <w:rsid w:val="00152E79"/>
    <w:rsid w:val="00157CB1"/>
    <w:rsid w:val="0016515A"/>
    <w:rsid w:val="00171C64"/>
    <w:rsid w:val="0017410D"/>
    <w:rsid w:val="0017558D"/>
    <w:rsid w:val="00184C4C"/>
    <w:rsid w:val="00187D45"/>
    <w:rsid w:val="00191509"/>
    <w:rsid w:val="00194457"/>
    <w:rsid w:val="00197D73"/>
    <w:rsid w:val="001A0B05"/>
    <w:rsid w:val="001A27A5"/>
    <w:rsid w:val="001B4890"/>
    <w:rsid w:val="001B4CF4"/>
    <w:rsid w:val="001B6E05"/>
    <w:rsid w:val="001C606F"/>
    <w:rsid w:val="001D3CE3"/>
    <w:rsid w:val="001E3AB4"/>
    <w:rsid w:val="001E3F92"/>
    <w:rsid w:val="001F00C4"/>
    <w:rsid w:val="001F1CE9"/>
    <w:rsid w:val="001F299A"/>
    <w:rsid w:val="001F424E"/>
    <w:rsid w:val="001F4EBB"/>
    <w:rsid w:val="002031CF"/>
    <w:rsid w:val="00203A39"/>
    <w:rsid w:val="0022560A"/>
    <w:rsid w:val="00226B4A"/>
    <w:rsid w:val="00234570"/>
    <w:rsid w:val="00243846"/>
    <w:rsid w:val="00246335"/>
    <w:rsid w:val="00247907"/>
    <w:rsid w:val="002508C2"/>
    <w:rsid w:val="00255963"/>
    <w:rsid w:val="00261490"/>
    <w:rsid w:val="002668C7"/>
    <w:rsid w:val="00267F06"/>
    <w:rsid w:val="002752DE"/>
    <w:rsid w:val="00275D4C"/>
    <w:rsid w:val="00275E89"/>
    <w:rsid w:val="00276B95"/>
    <w:rsid w:val="00280EA1"/>
    <w:rsid w:val="0028441A"/>
    <w:rsid w:val="00285CD9"/>
    <w:rsid w:val="002978A7"/>
    <w:rsid w:val="002A62FA"/>
    <w:rsid w:val="002B4213"/>
    <w:rsid w:val="002B72E9"/>
    <w:rsid w:val="002C2F2A"/>
    <w:rsid w:val="002C75C3"/>
    <w:rsid w:val="002D06A0"/>
    <w:rsid w:val="002D090A"/>
    <w:rsid w:val="002D0D74"/>
    <w:rsid w:val="002D640A"/>
    <w:rsid w:val="002E413A"/>
    <w:rsid w:val="002E4172"/>
    <w:rsid w:val="003016C3"/>
    <w:rsid w:val="00310B98"/>
    <w:rsid w:val="00310D4D"/>
    <w:rsid w:val="00311165"/>
    <w:rsid w:val="00320D1E"/>
    <w:rsid w:val="00322EEC"/>
    <w:rsid w:val="00332503"/>
    <w:rsid w:val="0033587E"/>
    <w:rsid w:val="00336C35"/>
    <w:rsid w:val="0033760D"/>
    <w:rsid w:val="00340697"/>
    <w:rsid w:val="003434C0"/>
    <w:rsid w:val="00344D29"/>
    <w:rsid w:val="00344E26"/>
    <w:rsid w:val="003468E9"/>
    <w:rsid w:val="003525E0"/>
    <w:rsid w:val="00353EE4"/>
    <w:rsid w:val="00354570"/>
    <w:rsid w:val="0035682D"/>
    <w:rsid w:val="00360A55"/>
    <w:rsid w:val="003614A1"/>
    <w:rsid w:val="00362470"/>
    <w:rsid w:val="003714FC"/>
    <w:rsid w:val="00372E60"/>
    <w:rsid w:val="003762C6"/>
    <w:rsid w:val="003772A9"/>
    <w:rsid w:val="0037771E"/>
    <w:rsid w:val="003846E8"/>
    <w:rsid w:val="003A3C0D"/>
    <w:rsid w:val="003A435A"/>
    <w:rsid w:val="003A4C5B"/>
    <w:rsid w:val="003B171B"/>
    <w:rsid w:val="003B1A2D"/>
    <w:rsid w:val="003B3119"/>
    <w:rsid w:val="003B5E31"/>
    <w:rsid w:val="003B78D5"/>
    <w:rsid w:val="003C10D9"/>
    <w:rsid w:val="003C11C1"/>
    <w:rsid w:val="003C30B6"/>
    <w:rsid w:val="003C5596"/>
    <w:rsid w:val="003D0CF6"/>
    <w:rsid w:val="003D2722"/>
    <w:rsid w:val="003E0840"/>
    <w:rsid w:val="003E1EBA"/>
    <w:rsid w:val="003F5F2F"/>
    <w:rsid w:val="00402D8A"/>
    <w:rsid w:val="004056B8"/>
    <w:rsid w:val="004101D2"/>
    <w:rsid w:val="00411515"/>
    <w:rsid w:val="00426791"/>
    <w:rsid w:val="004268FA"/>
    <w:rsid w:val="0043051A"/>
    <w:rsid w:val="00444590"/>
    <w:rsid w:val="00455A95"/>
    <w:rsid w:val="004601B4"/>
    <w:rsid w:val="00463447"/>
    <w:rsid w:val="00463B53"/>
    <w:rsid w:val="0046440F"/>
    <w:rsid w:val="004776AA"/>
    <w:rsid w:val="004816E4"/>
    <w:rsid w:val="0049292B"/>
    <w:rsid w:val="00493950"/>
    <w:rsid w:val="00493B91"/>
    <w:rsid w:val="00494BA3"/>
    <w:rsid w:val="0049647E"/>
    <w:rsid w:val="00496DE7"/>
    <w:rsid w:val="00497F07"/>
    <w:rsid w:val="004A26BC"/>
    <w:rsid w:val="004B6CF5"/>
    <w:rsid w:val="004B6F41"/>
    <w:rsid w:val="004C0CA6"/>
    <w:rsid w:val="004C175E"/>
    <w:rsid w:val="004D192F"/>
    <w:rsid w:val="004E2ED5"/>
    <w:rsid w:val="004E7272"/>
    <w:rsid w:val="004F0AF9"/>
    <w:rsid w:val="004F114D"/>
    <w:rsid w:val="004F3F9B"/>
    <w:rsid w:val="004F4311"/>
    <w:rsid w:val="004F7DC5"/>
    <w:rsid w:val="0050661F"/>
    <w:rsid w:val="00507290"/>
    <w:rsid w:val="00507A66"/>
    <w:rsid w:val="00512446"/>
    <w:rsid w:val="00520DAB"/>
    <w:rsid w:val="0052366A"/>
    <w:rsid w:val="00533789"/>
    <w:rsid w:val="00537DB0"/>
    <w:rsid w:val="00542453"/>
    <w:rsid w:val="005428A4"/>
    <w:rsid w:val="0054495A"/>
    <w:rsid w:val="00561DCB"/>
    <w:rsid w:val="0056466C"/>
    <w:rsid w:val="00564B42"/>
    <w:rsid w:val="0057214A"/>
    <w:rsid w:val="0057590B"/>
    <w:rsid w:val="00581A82"/>
    <w:rsid w:val="005A7C43"/>
    <w:rsid w:val="005B3408"/>
    <w:rsid w:val="005C04FF"/>
    <w:rsid w:val="005C70BB"/>
    <w:rsid w:val="005D3B84"/>
    <w:rsid w:val="005D4C8D"/>
    <w:rsid w:val="005D515D"/>
    <w:rsid w:val="005E5D15"/>
    <w:rsid w:val="005E6B1D"/>
    <w:rsid w:val="00601EE4"/>
    <w:rsid w:val="00605266"/>
    <w:rsid w:val="006068CA"/>
    <w:rsid w:val="006103EB"/>
    <w:rsid w:val="006118B1"/>
    <w:rsid w:val="006165F5"/>
    <w:rsid w:val="00620AD3"/>
    <w:rsid w:val="0063542D"/>
    <w:rsid w:val="00635858"/>
    <w:rsid w:val="00640AE2"/>
    <w:rsid w:val="00642581"/>
    <w:rsid w:val="00642942"/>
    <w:rsid w:val="00655149"/>
    <w:rsid w:val="00657C9F"/>
    <w:rsid w:val="00660ACE"/>
    <w:rsid w:val="00673384"/>
    <w:rsid w:val="0068173E"/>
    <w:rsid w:val="00683D49"/>
    <w:rsid w:val="00684CC3"/>
    <w:rsid w:val="00685F19"/>
    <w:rsid w:val="0069034D"/>
    <w:rsid w:val="00692A9D"/>
    <w:rsid w:val="006A0DA1"/>
    <w:rsid w:val="006A120E"/>
    <w:rsid w:val="006A145F"/>
    <w:rsid w:val="006A4D22"/>
    <w:rsid w:val="006A5B46"/>
    <w:rsid w:val="006B0AA3"/>
    <w:rsid w:val="006B2795"/>
    <w:rsid w:val="006B6D1E"/>
    <w:rsid w:val="006B7EE0"/>
    <w:rsid w:val="006C4CDF"/>
    <w:rsid w:val="006C7115"/>
    <w:rsid w:val="006D0B86"/>
    <w:rsid w:val="006D7C8F"/>
    <w:rsid w:val="006D7ED7"/>
    <w:rsid w:val="006E59A5"/>
    <w:rsid w:val="006F2B60"/>
    <w:rsid w:val="006F5B7D"/>
    <w:rsid w:val="006F6405"/>
    <w:rsid w:val="00700FF9"/>
    <w:rsid w:val="00701515"/>
    <w:rsid w:val="00705D3C"/>
    <w:rsid w:val="0071223B"/>
    <w:rsid w:val="00715E56"/>
    <w:rsid w:val="00716660"/>
    <w:rsid w:val="007231C7"/>
    <w:rsid w:val="00723C14"/>
    <w:rsid w:val="00726202"/>
    <w:rsid w:val="00732185"/>
    <w:rsid w:val="00734957"/>
    <w:rsid w:val="00735A9B"/>
    <w:rsid w:val="007407E8"/>
    <w:rsid w:val="0074127C"/>
    <w:rsid w:val="00743366"/>
    <w:rsid w:val="00751EB9"/>
    <w:rsid w:val="00757CB5"/>
    <w:rsid w:val="00766906"/>
    <w:rsid w:val="00770559"/>
    <w:rsid w:val="00770D27"/>
    <w:rsid w:val="00771772"/>
    <w:rsid w:val="00771D62"/>
    <w:rsid w:val="0077401A"/>
    <w:rsid w:val="00776709"/>
    <w:rsid w:val="0077794C"/>
    <w:rsid w:val="0078549D"/>
    <w:rsid w:val="007875E3"/>
    <w:rsid w:val="0079405C"/>
    <w:rsid w:val="007A09E8"/>
    <w:rsid w:val="007A2A2A"/>
    <w:rsid w:val="007A70B5"/>
    <w:rsid w:val="007B116A"/>
    <w:rsid w:val="007B324A"/>
    <w:rsid w:val="007B61CE"/>
    <w:rsid w:val="007C0FA4"/>
    <w:rsid w:val="007C3364"/>
    <w:rsid w:val="007C706C"/>
    <w:rsid w:val="007C712D"/>
    <w:rsid w:val="007C7722"/>
    <w:rsid w:val="007D026E"/>
    <w:rsid w:val="007D37DA"/>
    <w:rsid w:val="007D7122"/>
    <w:rsid w:val="007E2229"/>
    <w:rsid w:val="007E33CD"/>
    <w:rsid w:val="007E40D1"/>
    <w:rsid w:val="007E4A72"/>
    <w:rsid w:val="007F5D77"/>
    <w:rsid w:val="007F777B"/>
    <w:rsid w:val="007F7CB6"/>
    <w:rsid w:val="00804732"/>
    <w:rsid w:val="008116A4"/>
    <w:rsid w:val="00811C0F"/>
    <w:rsid w:val="00811E98"/>
    <w:rsid w:val="00816567"/>
    <w:rsid w:val="00817D04"/>
    <w:rsid w:val="008216DD"/>
    <w:rsid w:val="00822544"/>
    <w:rsid w:val="008225BF"/>
    <w:rsid w:val="008231F1"/>
    <w:rsid w:val="008242CB"/>
    <w:rsid w:val="00825EDC"/>
    <w:rsid w:val="00833E44"/>
    <w:rsid w:val="008342AE"/>
    <w:rsid w:val="00841755"/>
    <w:rsid w:val="00846E90"/>
    <w:rsid w:val="00851AEC"/>
    <w:rsid w:val="00853482"/>
    <w:rsid w:val="00861D2F"/>
    <w:rsid w:val="00862F9C"/>
    <w:rsid w:val="00863437"/>
    <w:rsid w:val="00866C31"/>
    <w:rsid w:val="0086740C"/>
    <w:rsid w:val="00873778"/>
    <w:rsid w:val="00883780"/>
    <w:rsid w:val="0089169D"/>
    <w:rsid w:val="008922BC"/>
    <w:rsid w:val="00892B29"/>
    <w:rsid w:val="00893AF3"/>
    <w:rsid w:val="008940B4"/>
    <w:rsid w:val="00894702"/>
    <w:rsid w:val="008A1C45"/>
    <w:rsid w:val="008A3737"/>
    <w:rsid w:val="008B2C66"/>
    <w:rsid w:val="008C2390"/>
    <w:rsid w:val="008C7593"/>
    <w:rsid w:val="008D080F"/>
    <w:rsid w:val="008D1355"/>
    <w:rsid w:val="008D400B"/>
    <w:rsid w:val="008E0DFA"/>
    <w:rsid w:val="008E19FD"/>
    <w:rsid w:val="008E6E10"/>
    <w:rsid w:val="008E7E50"/>
    <w:rsid w:val="008F2D98"/>
    <w:rsid w:val="008F38C4"/>
    <w:rsid w:val="009017B8"/>
    <w:rsid w:val="00902BA9"/>
    <w:rsid w:val="009037EC"/>
    <w:rsid w:val="009063BA"/>
    <w:rsid w:val="00914A71"/>
    <w:rsid w:val="0091647F"/>
    <w:rsid w:val="009168BE"/>
    <w:rsid w:val="00916C5D"/>
    <w:rsid w:val="009227FF"/>
    <w:rsid w:val="00930873"/>
    <w:rsid w:val="00933B1C"/>
    <w:rsid w:val="00935271"/>
    <w:rsid w:val="00941AC5"/>
    <w:rsid w:val="009473DC"/>
    <w:rsid w:val="009503E2"/>
    <w:rsid w:val="0095184E"/>
    <w:rsid w:val="009612F2"/>
    <w:rsid w:val="009616ED"/>
    <w:rsid w:val="00961AB2"/>
    <w:rsid w:val="009620CE"/>
    <w:rsid w:val="009701DB"/>
    <w:rsid w:val="00976F2C"/>
    <w:rsid w:val="00980513"/>
    <w:rsid w:val="00987014"/>
    <w:rsid w:val="00987D06"/>
    <w:rsid w:val="009946ED"/>
    <w:rsid w:val="00996619"/>
    <w:rsid w:val="00996CF8"/>
    <w:rsid w:val="009A07F0"/>
    <w:rsid w:val="009A0ED6"/>
    <w:rsid w:val="009A6439"/>
    <w:rsid w:val="009A6859"/>
    <w:rsid w:val="009A70E7"/>
    <w:rsid w:val="009B374A"/>
    <w:rsid w:val="009B4625"/>
    <w:rsid w:val="009B776B"/>
    <w:rsid w:val="009C391D"/>
    <w:rsid w:val="009C452E"/>
    <w:rsid w:val="009D11F6"/>
    <w:rsid w:val="009D6F1C"/>
    <w:rsid w:val="009E029B"/>
    <w:rsid w:val="009E3B51"/>
    <w:rsid w:val="009E588A"/>
    <w:rsid w:val="009F0B7F"/>
    <w:rsid w:val="00A066C3"/>
    <w:rsid w:val="00A220D7"/>
    <w:rsid w:val="00A22CC0"/>
    <w:rsid w:val="00A22CFA"/>
    <w:rsid w:val="00A25522"/>
    <w:rsid w:val="00A30AD5"/>
    <w:rsid w:val="00A4289D"/>
    <w:rsid w:val="00A4600C"/>
    <w:rsid w:val="00A520C0"/>
    <w:rsid w:val="00A531B9"/>
    <w:rsid w:val="00A55B9B"/>
    <w:rsid w:val="00A574DB"/>
    <w:rsid w:val="00A57F38"/>
    <w:rsid w:val="00A72878"/>
    <w:rsid w:val="00A73D1E"/>
    <w:rsid w:val="00A76423"/>
    <w:rsid w:val="00A77770"/>
    <w:rsid w:val="00A8192A"/>
    <w:rsid w:val="00A82B7C"/>
    <w:rsid w:val="00A84E8A"/>
    <w:rsid w:val="00A95B30"/>
    <w:rsid w:val="00A95E7A"/>
    <w:rsid w:val="00AA5456"/>
    <w:rsid w:val="00AA5E51"/>
    <w:rsid w:val="00AC1E67"/>
    <w:rsid w:val="00AC26C0"/>
    <w:rsid w:val="00AC4956"/>
    <w:rsid w:val="00AC5E2F"/>
    <w:rsid w:val="00AD25DC"/>
    <w:rsid w:val="00AD3638"/>
    <w:rsid w:val="00AD4878"/>
    <w:rsid w:val="00AD73F5"/>
    <w:rsid w:val="00AE1946"/>
    <w:rsid w:val="00AF27A5"/>
    <w:rsid w:val="00AF78A5"/>
    <w:rsid w:val="00B11547"/>
    <w:rsid w:val="00B12DCD"/>
    <w:rsid w:val="00B13D59"/>
    <w:rsid w:val="00B17152"/>
    <w:rsid w:val="00B1781A"/>
    <w:rsid w:val="00B2415E"/>
    <w:rsid w:val="00B4117F"/>
    <w:rsid w:val="00B4251B"/>
    <w:rsid w:val="00B4557A"/>
    <w:rsid w:val="00B4634C"/>
    <w:rsid w:val="00B52F57"/>
    <w:rsid w:val="00B530C3"/>
    <w:rsid w:val="00B57602"/>
    <w:rsid w:val="00B66133"/>
    <w:rsid w:val="00B675C3"/>
    <w:rsid w:val="00B74320"/>
    <w:rsid w:val="00B767E5"/>
    <w:rsid w:val="00B81274"/>
    <w:rsid w:val="00B846DC"/>
    <w:rsid w:val="00B87D00"/>
    <w:rsid w:val="00B9405C"/>
    <w:rsid w:val="00B97289"/>
    <w:rsid w:val="00BA2B09"/>
    <w:rsid w:val="00BA77BD"/>
    <w:rsid w:val="00BB0503"/>
    <w:rsid w:val="00BB4FCF"/>
    <w:rsid w:val="00BB64B4"/>
    <w:rsid w:val="00BB7BC2"/>
    <w:rsid w:val="00BC3BDF"/>
    <w:rsid w:val="00BC64EA"/>
    <w:rsid w:val="00BD54DA"/>
    <w:rsid w:val="00BD5AF0"/>
    <w:rsid w:val="00BD6827"/>
    <w:rsid w:val="00BE40FB"/>
    <w:rsid w:val="00BE5D58"/>
    <w:rsid w:val="00BE6407"/>
    <w:rsid w:val="00BE7324"/>
    <w:rsid w:val="00BF02DC"/>
    <w:rsid w:val="00BF2E5A"/>
    <w:rsid w:val="00BF7AC0"/>
    <w:rsid w:val="00C05823"/>
    <w:rsid w:val="00C16211"/>
    <w:rsid w:val="00C16C6C"/>
    <w:rsid w:val="00C17292"/>
    <w:rsid w:val="00C23EA2"/>
    <w:rsid w:val="00C24203"/>
    <w:rsid w:val="00C34065"/>
    <w:rsid w:val="00C44568"/>
    <w:rsid w:val="00C44EE2"/>
    <w:rsid w:val="00C538EC"/>
    <w:rsid w:val="00C57530"/>
    <w:rsid w:val="00C72FBD"/>
    <w:rsid w:val="00C73D30"/>
    <w:rsid w:val="00C74CCD"/>
    <w:rsid w:val="00C8212B"/>
    <w:rsid w:val="00C83240"/>
    <w:rsid w:val="00C86D78"/>
    <w:rsid w:val="00C8767C"/>
    <w:rsid w:val="00C87E8B"/>
    <w:rsid w:val="00C903EA"/>
    <w:rsid w:val="00C9177E"/>
    <w:rsid w:val="00C95E24"/>
    <w:rsid w:val="00CA32BD"/>
    <w:rsid w:val="00CA3B98"/>
    <w:rsid w:val="00CC1993"/>
    <w:rsid w:val="00CC3B4B"/>
    <w:rsid w:val="00CC6A34"/>
    <w:rsid w:val="00CC7EF6"/>
    <w:rsid w:val="00CE2858"/>
    <w:rsid w:val="00CE5606"/>
    <w:rsid w:val="00D00579"/>
    <w:rsid w:val="00D01E6F"/>
    <w:rsid w:val="00D04F20"/>
    <w:rsid w:val="00D13079"/>
    <w:rsid w:val="00D143B2"/>
    <w:rsid w:val="00D21ACC"/>
    <w:rsid w:val="00D21DA4"/>
    <w:rsid w:val="00D25B58"/>
    <w:rsid w:val="00D27345"/>
    <w:rsid w:val="00D27437"/>
    <w:rsid w:val="00D32E3B"/>
    <w:rsid w:val="00D3715B"/>
    <w:rsid w:val="00D411CC"/>
    <w:rsid w:val="00D41699"/>
    <w:rsid w:val="00D457CA"/>
    <w:rsid w:val="00D53597"/>
    <w:rsid w:val="00D544D4"/>
    <w:rsid w:val="00D57994"/>
    <w:rsid w:val="00D62C0C"/>
    <w:rsid w:val="00D73D35"/>
    <w:rsid w:val="00D77584"/>
    <w:rsid w:val="00D81E02"/>
    <w:rsid w:val="00D84217"/>
    <w:rsid w:val="00D87AAD"/>
    <w:rsid w:val="00D927A4"/>
    <w:rsid w:val="00D967E7"/>
    <w:rsid w:val="00DA0AA7"/>
    <w:rsid w:val="00DA284A"/>
    <w:rsid w:val="00DA60D7"/>
    <w:rsid w:val="00DA6832"/>
    <w:rsid w:val="00DB01D4"/>
    <w:rsid w:val="00DB7C5D"/>
    <w:rsid w:val="00DC3BF9"/>
    <w:rsid w:val="00DC5A0D"/>
    <w:rsid w:val="00DD06F9"/>
    <w:rsid w:val="00DD44BA"/>
    <w:rsid w:val="00DE03C2"/>
    <w:rsid w:val="00DE0472"/>
    <w:rsid w:val="00DE1D79"/>
    <w:rsid w:val="00DE395A"/>
    <w:rsid w:val="00DE3CF6"/>
    <w:rsid w:val="00DE7330"/>
    <w:rsid w:val="00DF24D9"/>
    <w:rsid w:val="00DF4556"/>
    <w:rsid w:val="00E11559"/>
    <w:rsid w:val="00E13701"/>
    <w:rsid w:val="00E255A1"/>
    <w:rsid w:val="00E40036"/>
    <w:rsid w:val="00E45E73"/>
    <w:rsid w:val="00E479CB"/>
    <w:rsid w:val="00E51910"/>
    <w:rsid w:val="00E52B0C"/>
    <w:rsid w:val="00E568BC"/>
    <w:rsid w:val="00E57996"/>
    <w:rsid w:val="00E60AED"/>
    <w:rsid w:val="00E60EBB"/>
    <w:rsid w:val="00E61C59"/>
    <w:rsid w:val="00E6272D"/>
    <w:rsid w:val="00E670C8"/>
    <w:rsid w:val="00E74DF5"/>
    <w:rsid w:val="00E85FE9"/>
    <w:rsid w:val="00EA123D"/>
    <w:rsid w:val="00EA1E19"/>
    <w:rsid w:val="00EA2E9E"/>
    <w:rsid w:val="00EA33E5"/>
    <w:rsid w:val="00EA53B9"/>
    <w:rsid w:val="00EA6073"/>
    <w:rsid w:val="00EA776E"/>
    <w:rsid w:val="00EB213E"/>
    <w:rsid w:val="00EB2639"/>
    <w:rsid w:val="00EB50FC"/>
    <w:rsid w:val="00EB73AA"/>
    <w:rsid w:val="00EC4BBC"/>
    <w:rsid w:val="00ED6C0F"/>
    <w:rsid w:val="00F00C9D"/>
    <w:rsid w:val="00F033C2"/>
    <w:rsid w:val="00F06F21"/>
    <w:rsid w:val="00F07E7C"/>
    <w:rsid w:val="00F153B9"/>
    <w:rsid w:val="00F239A6"/>
    <w:rsid w:val="00F23E42"/>
    <w:rsid w:val="00F2403B"/>
    <w:rsid w:val="00F25984"/>
    <w:rsid w:val="00F25BC2"/>
    <w:rsid w:val="00F26088"/>
    <w:rsid w:val="00F3164E"/>
    <w:rsid w:val="00F3367E"/>
    <w:rsid w:val="00F4010B"/>
    <w:rsid w:val="00F40994"/>
    <w:rsid w:val="00F421D8"/>
    <w:rsid w:val="00F45E25"/>
    <w:rsid w:val="00F572EE"/>
    <w:rsid w:val="00F5746E"/>
    <w:rsid w:val="00F61A11"/>
    <w:rsid w:val="00F630DA"/>
    <w:rsid w:val="00F70E93"/>
    <w:rsid w:val="00F750B8"/>
    <w:rsid w:val="00F76E0C"/>
    <w:rsid w:val="00F83583"/>
    <w:rsid w:val="00F87E6D"/>
    <w:rsid w:val="00F94279"/>
    <w:rsid w:val="00F942EE"/>
    <w:rsid w:val="00FA5910"/>
    <w:rsid w:val="00FA75A6"/>
    <w:rsid w:val="00FB0B6A"/>
    <w:rsid w:val="00FB69C0"/>
    <w:rsid w:val="00FD6D40"/>
    <w:rsid w:val="00FD75B0"/>
    <w:rsid w:val="00FE79D3"/>
    <w:rsid w:val="00FE7AEA"/>
    <w:rsid w:val="00FF1F02"/>
    <w:rsid w:val="00FF1F89"/>
    <w:rsid w:val="00FF7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67"/>
    <w:pPr>
      <w:jc w:val="both"/>
    </w:pPr>
    <w:rPr>
      <w:rFonts w:ascii="Times New Roman" w:eastAsia="Times New Roman" w:hAnsi="Times New Roman" w:cs="Times New Roman"/>
      <w:sz w:val="22"/>
      <w:szCs w:val="20"/>
      <w:lang w:val="en-AU"/>
    </w:rPr>
  </w:style>
  <w:style w:type="paragraph" w:styleId="Heading1">
    <w:name w:val="heading 1"/>
    <w:basedOn w:val="Normal"/>
    <w:link w:val="Heading1Char"/>
    <w:uiPriority w:val="9"/>
    <w:qFormat/>
    <w:rsid w:val="00EA33E5"/>
    <w:pPr>
      <w:spacing w:before="100" w:beforeAutospacing="1" w:after="100" w:afterAutospacing="1"/>
      <w:jc w:val="left"/>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175E"/>
    <w:pPr>
      <w:spacing w:before="120" w:after="120" w:line="300" w:lineRule="atLeast"/>
    </w:pPr>
  </w:style>
  <w:style w:type="character" w:customStyle="1" w:styleId="BodyTextChar">
    <w:name w:val="Body Text Char"/>
    <w:basedOn w:val="DefaultParagraphFont"/>
    <w:link w:val="BodyText"/>
    <w:rsid w:val="004C175E"/>
    <w:rPr>
      <w:rFonts w:ascii="Arial" w:eastAsia="Times New Roman" w:hAnsi="Arial" w:cs="Times New Roman"/>
      <w:sz w:val="22"/>
      <w:szCs w:val="20"/>
      <w:lang w:val="en-AU"/>
    </w:rPr>
  </w:style>
  <w:style w:type="paragraph" w:customStyle="1" w:styleId="MajorL2Text">
    <w:name w:val="Major L2 Text"/>
    <w:basedOn w:val="Normal"/>
    <w:rsid w:val="004C175E"/>
    <w:pPr>
      <w:spacing w:after="360" w:line="360" w:lineRule="auto"/>
    </w:pPr>
    <w:rPr>
      <w:rFonts w:ascii="Palatino" w:hAnsi="Palatino"/>
      <w:sz w:val="20"/>
    </w:rPr>
  </w:style>
  <w:style w:type="paragraph" w:styleId="CommentText">
    <w:name w:val="annotation text"/>
    <w:basedOn w:val="Normal"/>
    <w:link w:val="CommentTextChar"/>
    <w:uiPriority w:val="99"/>
    <w:semiHidden/>
    <w:rsid w:val="004C175E"/>
    <w:pPr>
      <w:spacing w:before="240" w:after="60"/>
      <w:jc w:val="center"/>
    </w:pPr>
    <w:rPr>
      <w:rFonts w:ascii="Palatino" w:hAnsi="Palatino"/>
      <w:sz w:val="20"/>
    </w:rPr>
  </w:style>
  <w:style w:type="character" w:customStyle="1" w:styleId="CommentTextChar">
    <w:name w:val="Comment Text Char"/>
    <w:basedOn w:val="DefaultParagraphFont"/>
    <w:link w:val="CommentText"/>
    <w:uiPriority w:val="99"/>
    <w:semiHidden/>
    <w:rsid w:val="004C175E"/>
    <w:rPr>
      <w:rFonts w:ascii="Palatino" w:eastAsia="Times New Roman" w:hAnsi="Palatino" w:cs="Times New Roman"/>
      <w:sz w:val="20"/>
      <w:szCs w:val="20"/>
      <w:lang w:val="en-AU"/>
    </w:rPr>
  </w:style>
  <w:style w:type="paragraph" w:styleId="Header">
    <w:name w:val="header"/>
    <w:basedOn w:val="Normal"/>
    <w:link w:val="HeaderChar"/>
    <w:rsid w:val="004C175E"/>
    <w:pPr>
      <w:tabs>
        <w:tab w:val="center" w:pos="4153"/>
        <w:tab w:val="right" w:pos="8306"/>
      </w:tabs>
    </w:pPr>
  </w:style>
  <w:style w:type="character" w:customStyle="1" w:styleId="HeaderChar">
    <w:name w:val="Header Char"/>
    <w:basedOn w:val="DefaultParagraphFont"/>
    <w:link w:val="Header"/>
    <w:rsid w:val="004C175E"/>
    <w:rPr>
      <w:rFonts w:ascii="Arial" w:eastAsia="Times New Roman" w:hAnsi="Arial" w:cs="Times New Roman"/>
      <w:sz w:val="22"/>
      <w:szCs w:val="20"/>
      <w:lang w:val="en-AU"/>
    </w:rPr>
  </w:style>
  <w:style w:type="paragraph" w:styleId="Footer">
    <w:name w:val="footer"/>
    <w:basedOn w:val="Normal"/>
    <w:link w:val="FooterChar"/>
    <w:uiPriority w:val="99"/>
    <w:rsid w:val="004C175E"/>
    <w:pPr>
      <w:tabs>
        <w:tab w:val="center" w:pos="4153"/>
        <w:tab w:val="right" w:pos="8306"/>
      </w:tabs>
    </w:pPr>
  </w:style>
  <w:style w:type="character" w:customStyle="1" w:styleId="FooterChar">
    <w:name w:val="Footer Char"/>
    <w:basedOn w:val="DefaultParagraphFont"/>
    <w:link w:val="Footer"/>
    <w:uiPriority w:val="99"/>
    <w:rsid w:val="004C175E"/>
    <w:rPr>
      <w:rFonts w:ascii="Arial" w:eastAsia="Times New Roman" w:hAnsi="Arial" w:cs="Times New Roman"/>
      <w:sz w:val="22"/>
      <w:szCs w:val="20"/>
      <w:lang w:val="en-AU"/>
    </w:rPr>
  </w:style>
  <w:style w:type="paragraph" w:styleId="ListParagraph">
    <w:name w:val="List Paragraph"/>
    <w:aliases w:val="Bullet1,Citation List,Ha,Liste 1,Numbered List Paragraph,NumberedParas,References,본문(내용),123 List Paragraph,List Paragraph nowy,Bullet paras,Graphic,Resume Title,MC Paragraphe Liste,AFSN List Paragraph,ADB Normal,ReferencesCxSpLast,lp1"/>
    <w:basedOn w:val="Normal"/>
    <w:link w:val="ListParagraphChar"/>
    <w:uiPriority w:val="34"/>
    <w:qFormat/>
    <w:rsid w:val="004C175E"/>
    <w:pPr>
      <w:widowControl w:val="0"/>
      <w:autoSpaceDE w:val="0"/>
      <w:autoSpaceDN w:val="0"/>
      <w:adjustRightInd w:val="0"/>
      <w:ind w:left="720"/>
      <w:contextualSpacing/>
    </w:pPr>
    <w:rPr>
      <w:rFonts w:eastAsia="SimSun" w:cs="Arial"/>
      <w:color w:val="000000"/>
      <w:sz w:val="24"/>
      <w:szCs w:val="24"/>
      <w:lang w:val="en-US"/>
    </w:rPr>
  </w:style>
  <w:style w:type="character" w:customStyle="1" w:styleId="ListParagraphChar">
    <w:name w:val="List Paragraph Char"/>
    <w:aliases w:val="Bullet1 Char,Citation List Char,Ha Char,Liste 1 Char,Numbered List Paragraph Char,NumberedParas Char,References Char,본문(내용) Char,123 List Paragraph Char,List Paragraph nowy Char,Bullet paras Char,Graphic Char,Resume Title Char"/>
    <w:link w:val="ListParagraph"/>
    <w:uiPriority w:val="34"/>
    <w:qFormat/>
    <w:rsid w:val="004C175E"/>
    <w:rPr>
      <w:rFonts w:ascii="Arial" w:eastAsia="SimSun" w:hAnsi="Arial" w:cs="Arial"/>
      <w:color w:val="000000"/>
    </w:rPr>
  </w:style>
  <w:style w:type="character" w:customStyle="1" w:styleId="normaltextrun">
    <w:name w:val="normaltextrun"/>
    <w:rsid w:val="004C175E"/>
  </w:style>
  <w:style w:type="paragraph" w:styleId="Revision">
    <w:name w:val="Revision"/>
    <w:hidden/>
    <w:uiPriority w:val="99"/>
    <w:semiHidden/>
    <w:rsid w:val="001A27A5"/>
    <w:rPr>
      <w:rFonts w:ascii="Arial" w:eastAsia="Times New Roman" w:hAnsi="Arial" w:cs="Times New Roman"/>
      <w:sz w:val="22"/>
      <w:szCs w:val="20"/>
      <w:lang w:val="en-AU"/>
    </w:rPr>
  </w:style>
  <w:style w:type="character" w:styleId="CommentReference">
    <w:name w:val="annotation reference"/>
    <w:basedOn w:val="DefaultParagraphFont"/>
    <w:uiPriority w:val="99"/>
    <w:semiHidden/>
    <w:unhideWhenUsed/>
    <w:rsid w:val="00507A66"/>
    <w:rPr>
      <w:sz w:val="16"/>
      <w:szCs w:val="16"/>
    </w:rPr>
  </w:style>
  <w:style w:type="paragraph" w:styleId="CommentSubject">
    <w:name w:val="annotation subject"/>
    <w:basedOn w:val="CommentText"/>
    <w:next w:val="CommentText"/>
    <w:link w:val="CommentSubjectChar"/>
    <w:uiPriority w:val="99"/>
    <w:semiHidden/>
    <w:unhideWhenUsed/>
    <w:rsid w:val="00507A66"/>
    <w:pPr>
      <w:spacing w:before="0" w:after="0"/>
      <w:jc w:val="left"/>
    </w:pPr>
    <w:rPr>
      <w:rFonts w:ascii="Arial" w:hAnsi="Arial"/>
      <w:b/>
      <w:bCs/>
    </w:rPr>
  </w:style>
  <w:style w:type="character" w:customStyle="1" w:styleId="CommentSubjectChar">
    <w:name w:val="Comment Subject Char"/>
    <w:basedOn w:val="CommentTextChar"/>
    <w:link w:val="CommentSubject"/>
    <w:uiPriority w:val="99"/>
    <w:semiHidden/>
    <w:rsid w:val="00507A66"/>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6F2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B60"/>
    <w:rPr>
      <w:rFonts w:ascii="Segoe UI" w:eastAsia="Times New Roman" w:hAnsi="Segoe UI" w:cs="Segoe UI"/>
      <w:sz w:val="18"/>
      <w:szCs w:val="18"/>
      <w:lang w:val="en-AU"/>
    </w:rPr>
  </w:style>
  <w:style w:type="paragraph" w:customStyle="1" w:styleId="Normal0">
    <w:name w:val="Normal_0"/>
    <w:qFormat/>
    <w:rsid w:val="00684CC3"/>
    <w:pPr>
      <w:spacing w:after="160" w:line="259" w:lineRule="auto"/>
    </w:pPr>
    <w:rPr>
      <w:rFonts w:ascii="Calibri" w:eastAsia="Calibri" w:hAnsi="Calibri" w:cs="Times New Roman"/>
      <w:sz w:val="22"/>
      <w:szCs w:val="22"/>
    </w:rPr>
  </w:style>
  <w:style w:type="table" w:styleId="TableGrid">
    <w:name w:val="Table Grid"/>
    <w:aliases w:val="Tabla Microsoft Servicios"/>
    <w:basedOn w:val="TableNormal"/>
    <w:uiPriority w:val="39"/>
    <w:rsid w:val="00987D06"/>
    <w:pPr>
      <w:spacing w:after="160" w:line="259" w:lineRule="auto"/>
    </w:pPr>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DefaultParagraphFont"/>
    <w:rsid w:val="00987D06"/>
  </w:style>
  <w:style w:type="paragraph" w:customStyle="1" w:styleId="Numberedparagraph">
    <w:name w:val="Numbered paragraph"/>
    <w:basedOn w:val="Normal"/>
    <w:qFormat/>
    <w:rsid w:val="00987D06"/>
    <w:pPr>
      <w:numPr>
        <w:numId w:val="8"/>
      </w:numPr>
      <w:tabs>
        <w:tab w:val="clear" w:pos="720"/>
        <w:tab w:val="num" w:pos="0"/>
      </w:tabs>
      <w:spacing w:after="240"/>
      <w:ind w:left="0" w:firstLine="0"/>
    </w:pPr>
    <w:rPr>
      <w:sz w:val="24"/>
      <w:szCs w:val="24"/>
      <w:lang w:val="en-US"/>
    </w:rPr>
  </w:style>
  <w:style w:type="paragraph" w:customStyle="1" w:styleId="odluka-zakon">
    <w:name w:val="odluka-zakon"/>
    <w:basedOn w:val="Normal"/>
    <w:rsid w:val="00CE5606"/>
    <w:pPr>
      <w:spacing w:before="100" w:beforeAutospacing="1" w:after="100" w:afterAutospacing="1"/>
      <w:jc w:val="left"/>
    </w:pPr>
    <w:rPr>
      <w:sz w:val="24"/>
      <w:szCs w:val="24"/>
      <w:lang w:val="en-US"/>
    </w:rPr>
  </w:style>
  <w:style w:type="paragraph" w:customStyle="1" w:styleId="centar">
    <w:name w:val="centar"/>
    <w:basedOn w:val="Normal"/>
    <w:rsid w:val="00CE5606"/>
    <w:pPr>
      <w:spacing w:before="100" w:beforeAutospacing="1" w:after="100" w:afterAutospacing="1"/>
      <w:jc w:val="left"/>
    </w:pPr>
    <w:rPr>
      <w:sz w:val="24"/>
      <w:szCs w:val="24"/>
      <w:lang w:val="en-US"/>
    </w:rPr>
  </w:style>
  <w:style w:type="paragraph" w:customStyle="1" w:styleId="auto-style2">
    <w:name w:val="auto-style2"/>
    <w:basedOn w:val="Normal"/>
    <w:rsid w:val="00CE5606"/>
    <w:pPr>
      <w:spacing w:before="100" w:beforeAutospacing="1" w:after="100" w:afterAutospacing="1"/>
      <w:jc w:val="left"/>
    </w:pPr>
    <w:rPr>
      <w:sz w:val="24"/>
      <w:szCs w:val="24"/>
      <w:lang w:val="en-US"/>
    </w:rPr>
  </w:style>
  <w:style w:type="character" w:styleId="Emphasis">
    <w:name w:val="Emphasis"/>
    <w:basedOn w:val="DefaultParagraphFont"/>
    <w:uiPriority w:val="20"/>
    <w:qFormat/>
    <w:rsid w:val="00CE5606"/>
    <w:rPr>
      <w:i/>
      <w:iCs/>
    </w:rPr>
  </w:style>
  <w:style w:type="paragraph" w:customStyle="1" w:styleId="Default">
    <w:name w:val="Default"/>
    <w:rsid w:val="00493B91"/>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902BA9"/>
    <w:rPr>
      <w:color w:val="0563C1" w:themeColor="hyperlink"/>
      <w:u w:val="single"/>
    </w:rPr>
  </w:style>
  <w:style w:type="character" w:customStyle="1" w:styleId="Heading1Char">
    <w:name w:val="Heading 1 Char"/>
    <w:basedOn w:val="DefaultParagraphFont"/>
    <w:link w:val="Heading1"/>
    <w:uiPriority w:val="9"/>
    <w:rsid w:val="00EA33E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5370788">
      <w:bodyDiv w:val="1"/>
      <w:marLeft w:val="0"/>
      <w:marRight w:val="0"/>
      <w:marTop w:val="0"/>
      <w:marBottom w:val="0"/>
      <w:divBdr>
        <w:top w:val="none" w:sz="0" w:space="0" w:color="auto"/>
        <w:left w:val="none" w:sz="0" w:space="0" w:color="auto"/>
        <w:bottom w:val="none" w:sz="0" w:space="0" w:color="auto"/>
        <w:right w:val="none" w:sz="0" w:space="0" w:color="auto"/>
      </w:divBdr>
    </w:div>
    <w:div w:id="88015224">
      <w:bodyDiv w:val="1"/>
      <w:marLeft w:val="0"/>
      <w:marRight w:val="0"/>
      <w:marTop w:val="0"/>
      <w:marBottom w:val="0"/>
      <w:divBdr>
        <w:top w:val="none" w:sz="0" w:space="0" w:color="auto"/>
        <w:left w:val="none" w:sz="0" w:space="0" w:color="auto"/>
        <w:bottom w:val="none" w:sz="0" w:space="0" w:color="auto"/>
        <w:right w:val="none" w:sz="0" w:space="0" w:color="auto"/>
      </w:divBdr>
    </w:div>
    <w:div w:id="105278863">
      <w:bodyDiv w:val="1"/>
      <w:marLeft w:val="0"/>
      <w:marRight w:val="0"/>
      <w:marTop w:val="0"/>
      <w:marBottom w:val="0"/>
      <w:divBdr>
        <w:top w:val="none" w:sz="0" w:space="0" w:color="auto"/>
        <w:left w:val="none" w:sz="0" w:space="0" w:color="auto"/>
        <w:bottom w:val="none" w:sz="0" w:space="0" w:color="auto"/>
        <w:right w:val="none" w:sz="0" w:space="0" w:color="auto"/>
      </w:divBdr>
    </w:div>
    <w:div w:id="242300588">
      <w:bodyDiv w:val="1"/>
      <w:marLeft w:val="0"/>
      <w:marRight w:val="0"/>
      <w:marTop w:val="0"/>
      <w:marBottom w:val="0"/>
      <w:divBdr>
        <w:top w:val="none" w:sz="0" w:space="0" w:color="auto"/>
        <w:left w:val="none" w:sz="0" w:space="0" w:color="auto"/>
        <w:bottom w:val="none" w:sz="0" w:space="0" w:color="auto"/>
        <w:right w:val="none" w:sz="0" w:space="0" w:color="auto"/>
      </w:divBdr>
    </w:div>
    <w:div w:id="450393678">
      <w:bodyDiv w:val="1"/>
      <w:marLeft w:val="0"/>
      <w:marRight w:val="0"/>
      <w:marTop w:val="0"/>
      <w:marBottom w:val="0"/>
      <w:divBdr>
        <w:top w:val="none" w:sz="0" w:space="0" w:color="auto"/>
        <w:left w:val="none" w:sz="0" w:space="0" w:color="auto"/>
        <w:bottom w:val="none" w:sz="0" w:space="0" w:color="auto"/>
        <w:right w:val="none" w:sz="0" w:space="0" w:color="auto"/>
      </w:divBdr>
    </w:div>
    <w:div w:id="489054573">
      <w:bodyDiv w:val="1"/>
      <w:marLeft w:val="0"/>
      <w:marRight w:val="0"/>
      <w:marTop w:val="0"/>
      <w:marBottom w:val="0"/>
      <w:divBdr>
        <w:top w:val="none" w:sz="0" w:space="0" w:color="auto"/>
        <w:left w:val="none" w:sz="0" w:space="0" w:color="auto"/>
        <w:bottom w:val="none" w:sz="0" w:space="0" w:color="auto"/>
        <w:right w:val="none" w:sz="0" w:space="0" w:color="auto"/>
      </w:divBdr>
    </w:div>
    <w:div w:id="1192304698">
      <w:bodyDiv w:val="1"/>
      <w:marLeft w:val="0"/>
      <w:marRight w:val="0"/>
      <w:marTop w:val="0"/>
      <w:marBottom w:val="0"/>
      <w:divBdr>
        <w:top w:val="none" w:sz="0" w:space="0" w:color="auto"/>
        <w:left w:val="none" w:sz="0" w:space="0" w:color="auto"/>
        <w:bottom w:val="none" w:sz="0" w:space="0" w:color="auto"/>
        <w:right w:val="none" w:sz="0" w:space="0" w:color="auto"/>
      </w:divBdr>
    </w:div>
    <w:div w:id="1202590752">
      <w:bodyDiv w:val="1"/>
      <w:marLeft w:val="0"/>
      <w:marRight w:val="0"/>
      <w:marTop w:val="0"/>
      <w:marBottom w:val="0"/>
      <w:divBdr>
        <w:top w:val="none" w:sz="0" w:space="0" w:color="auto"/>
        <w:left w:val="none" w:sz="0" w:space="0" w:color="auto"/>
        <w:bottom w:val="none" w:sz="0" w:space="0" w:color="auto"/>
        <w:right w:val="none" w:sz="0" w:space="0" w:color="auto"/>
      </w:divBdr>
    </w:div>
    <w:div w:id="1423648260">
      <w:bodyDiv w:val="1"/>
      <w:marLeft w:val="0"/>
      <w:marRight w:val="0"/>
      <w:marTop w:val="0"/>
      <w:marBottom w:val="0"/>
      <w:divBdr>
        <w:top w:val="none" w:sz="0" w:space="0" w:color="auto"/>
        <w:left w:val="none" w:sz="0" w:space="0" w:color="auto"/>
        <w:bottom w:val="none" w:sz="0" w:space="0" w:color="auto"/>
        <w:right w:val="none" w:sz="0" w:space="0" w:color="auto"/>
      </w:divBdr>
    </w:div>
    <w:div w:id="1547793568">
      <w:bodyDiv w:val="1"/>
      <w:marLeft w:val="0"/>
      <w:marRight w:val="0"/>
      <w:marTop w:val="0"/>
      <w:marBottom w:val="0"/>
      <w:divBdr>
        <w:top w:val="none" w:sz="0" w:space="0" w:color="auto"/>
        <w:left w:val="none" w:sz="0" w:space="0" w:color="auto"/>
        <w:bottom w:val="none" w:sz="0" w:space="0" w:color="auto"/>
        <w:right w:val="none" w:sz="0" w:space="0" w:color="auto"/>
      </w:divBdr>
    </w:div>
    <w:div w:id="1622492108">
      <w:bodyDiv w:val="1"/>
      <w:marLeft w:val="0"/>
      <w:marRight w:val="0"/>
      <w:marTop w:val="0"/>
      <w:marBottom w:val="0"/>
      <w:divBdr>
        <w:top w:val="none" w:sz="0" w:space="0" w:color="auto"/>
        <w:left w:val="none" w:sz="0" w:space="0" w:color="auto"/>
        <w:bottom w:val="none" w:sz="0" w:space="0" w:color="auto"/>
        <w:right w:val="none" w:sz="0" w:space="0" w:color="auto"/>
      </w:divBdr>
    </w:div>
    <w:div w:id="1933002865">
      <w:bodyDiv w:val="1"/>
      <w:marLeft w:val="0"/>
      <w:marRight w:val="0"/>
      <w:marTop w:val="0"/>
      <w:marBottom w:val="0"/>
      <w:divBdr>
        <w:top w:val="none" w:sz="0" w:space="0" w:color="auto"/>
        <w:left w:val="none" w:sz="0" w:space="0" w:color="auto"/>
        <w:bottom w:val="none" w:sz="0" w:space="0" w:color="auto"/>
        <w:right w:val="none" w:sz="0" w:space="0" w:color="auto"/>
      </w:divBdr>
    </w:div>
    <w:div w:id="1940408842">
      <w:bodyDiv w:val="1"/>
      <w:marLeft w:val="0"/>
      <w:marRight w:val="0"/>
      <w:marTop w:val="0"/>
      <w:marBottom w:val="0"/>
      <w:divBdr>
        <w:top w:val="none" w:sz="0" w:space="0" w:color="auto"/>
        <w:left w:val="none" w:sz="0" w:space="0" w:color="auto"/>
        <w:bottom w:val="none" w:sz="0" w:space="0" w:color="auto"/>
        <w:right w:val="none" w:sz="0" w:space="0" w:color="auto"/>
      </w:divBdr>
    </w:div>
    <w:div w:id="20049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la.rs/liid-projek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6E51-A2AE-431A-BFDC-843CD99B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korisnik</cp:lastModifiedBy>
  <cp:revision>3</cp:revision>
  <cp:lastPrinted>2024-08-09T11:07:00Z</cp:lastPrinted>
  <dcterms:created xsi:type="dcterms:W3CDTF">2025-01-27T07:01:00Z</dcterms:created>
  <dcterms:modified xsi:type="dcterms:W3CDTF">2025-02-03T08:00:00Z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300bd41addebc9f2503a23f184e33fe2d6fe7f76996e573161e45bf923a8b411</vt:lpwstr>
  </property>
</Properties>
</file>